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F" w:rsidRDefault="00584025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ascii="仿宋_GB2312" w:eastAsia="仿宋_GB2312"/>
          <w:bCs/>
          <w:color w:val="000000"/>
          <w:sz w:val="36"/>
          <w:szCs w:val="36"/>
        </w:rPr>
        <w:t>无锡职业技术学院</w:t>
      </w:r>
      <w:r>
        <w:rPr>
          <w:rFonts w:ascii="仿宋_GB2312" w:eastAsia="仿宋_GB2312" w:hint="eastAsia"/>
          <w:bCs/>
          <w:color w:val="000000"/>
          <w:sz w:val="36"/>
          <w:szCs w:val="36"/>
        </w:rPr>
        <w:t>新能源汽车动力虚拟设备采购</w:t>
      </w:r>
      <w:r>
        <w:rPr>
          <w:rFonts w:ascii="仿宋_GB2312" w:eastAsia="仿宋_GB2312"/>
          <w:bCs/>
          <w:color w:val="FF0000"/>
          <w:sz w:val="36"/>
          <w:szCs w:val="36"/>
        </w:rPr>
        <w:t>（XJ-202306-014）</w:t>
      </w:r>
    </w:p>
    <w:tbl>
      <w:tblPr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391"/>
        <w:gridCol w:w="2552"/>
        <w:gridCol w:w="1276"/>
        <w:gridCol w:w="708"/>
        <w:gridCol w:w="993"/>
        <w:gridCol w:w="1417"/>
        <w:gridCol w:w="2835"/>
        <w:gridCol w:w="851"/>
      </w:tblGrid>
      <w:tr w:rsidR="00630CCF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</w:t>
            </w:r>
            <w:r>
              <w:rPr>
                <w:rFonts w:hint="eastAsia"/>
                <w:b/>
                <w:color w:val="FF0000"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023</w:t>
            </w:r>
            <w:r>
              <w:rPr>
                <w:rFonts w:hint="eastAsia"/>
                <w:b/>
                <w:color w:val="FF0000"/>
                <w:sz w:val="24"/>
              </w:rPr>
              <w:t>年</w:t>
            </w:r>
            <w:r>
              <w:rPr>
                <w:b/>
                <w:color w:val="FF0000"/>
                <w:sz w:val="24"/>
              </w:rPr>
              <w:t>6</w:t>
            </w:r>
            <w:r>
              <w:rPr>
                <w:rFonts w:hint="eastAsia"/>
                <w:b/>
                <w:color w:val="FF0000"/>
                <w:sz w:val="24"/>
              </w:rPr>
              <w:t>月</w:t>
            </w:r>
            <w:r>
              <w:rPr>
                <w:b/>
                <w:color w:val="FF0000"/>
                <w:sz w:val="24"/>
              </w:rPr>
              <w:t>5</w:t>
            </w:r>
            <w:r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30CCF" w:rsidRDefault="00630CC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30CCF">
        <w:tc>
          <w:tcPr>
            <w:tcW w:w="1996" w:type="dxa"/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30CCF" w:rsidRDefault="00630CC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30CCF">
        <w:tc>
          <w:tcPr>
            <w:tcW w:w="1996" w:type="dxa"/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无锡市滨湖区高浪西路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30CCF" w:rsidRDefault="00630CC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30CCF">
        <w:trPr>
          <w:trHeight w:val="473"/>
        </w:trPr>
        <w:tc>
          <w:tcPr>
            <w:tcW w:w="1996" w:type="dxa"/>
            <w:vAlign w:val="center"/>
          </w:tcPr>
          <w:p w:rsidR="00630CCF" w:rsidRDefault="0058402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391" w:type="dxa"/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黄老师</w:t>
            </w:r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984" w:type="dxa"/>
            <w:gridSpan w:val="2"/>
            <w:tcBorders>
              <w:right w:val="dotDotDash" w:sz="18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rPr>
                <w:b/>
                <w:color w:val="000000"/>
                <w:sz w:val="24"/>
              </w:rPr>
            </w:pPr>
          </w:p>
        </w:tc>
      </w:tr>
      <w:tr w:rsidR="00630CCF">
        <w:trPr>
          <w:trHeight w:val="462"/>
        </w:trPr>
        <w:tc>
          <w:tcPr>
            <w:tcW w:w="1996" w:type="dxa"/>
            <w:vAlign w:val="center"/>
          </w:tcPr>
          <w:p w:rsidR="00630CCF" w:rsidRDefault="0058402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630CCF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纯电动汽车动力系统虚拟结构原理展示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:rsidR="00630CCF" w:rsidRDefault="00584025">
            <w:pPr>
              <w:jc w:val="left"/>
            </w:pPr>
            <w:r>
              <w:rPr>
                <w:rFonts w:hint="eastAsia"/>
              </w:rPr>
              <w:t>技术参数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一、功能要求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1.</w:t>
            </w:r>
            <w:r>
              <w:t>结构展示：以爆炸的方式展示荣威</w:t>
            </w:r>
            <w:r>
              <w:t>E50</w:t>
            </w:r>
            <w:r>
              <w:t>（纯电动汽车）动力系统及组件的结构。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2.</w:t>
            </w:r>
            <w:r>
              <w:t>原理演示：模拟荣威</w:t>
            </w:r>
            <w:r>
              <w:t>E50</w:t>
            </w:r>
            <w:r>
              <w:t>（纯电动汽车）动力系统及组件的工作原理。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3.</w:t>
            </w:r>
            <w:r>
              <w:t>模拟工况：在原理演示时可以控制荣威</w:t>
            </w:r>
            <w:r>
              <w:t>E50</w:t>
            </w:r>
            <w:r>
              <w:t>（纯电动汽车）动力系统工况，以展示荣威</w:t>
            </w:r>
            <w:r>
              <w:t>E50</w:t>
            </w:r>
            <w:r>
              <w:t>（纯电动汽车）动力系统不同工况的原理。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4.</w:t>
            </w:r>
            <w:r>
              <w:t>展示特效：模拟荣威</w:t>
            </w:r>
            <w:r>
              <w:t>E50</w:t>
            </w:r>
            <w:r>
              <w:t>（纯电动汽车）动力系统运行时的电器、机械运动等特效。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5.</w:t>
            </w:r>
            <w:r>
              <w:t>手势操作：触摸操作，支持</w:t>
            </w:r>
            <w:r>
              <w:t>2</w:t>
            </w:r>
            <w:r>
              <w:t>点缩放，滑动旋转，</w:t>
            </w:r>
            <w:r>
              <w:t>3</w:t>
            </w:r>
            <w:r>
              <w:t>点平移等操作。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6.</w:t>
            </w:r>
            <w:r>
              <w:t>零部件名称显示：结构爆炸后的零件可显示或隐藏零件对应名称。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7.</w:t>
            </w:r>
            <w:r>
              <w:t>旋转限制：上旋转幅度</w:t>
            </w:r>
            <w:r>
              <w:t>70°</w:t>
            </w:r>
            <w:r>
              <w:t>，下旋转幅度</w:t>
            </w:r>
            <w:r>
              <w:t>45°</w:t>
            </w:r>
            <w:r>
              <w:t>，左右旋转幅度</w:t>
            </w:r>
            <w:r>
              <w:t>360°</w:t>
            </w:r>
            <w:r>
              <w:t>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lastRenderedPageBreak/>
              <w:t>二、教学项目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1.</w:t>
            </w:r>
            <w:r>
              <w:t>提供荣威</w:t>
            </w:r>
            <w:r>
              <w:t>E50</w:t>
            </w:r>
            <w:r>
              <w:t>（纯电动汽车）动力系统</w:t>
            </w:r>
            <w:r>
              <w:t>16</w:t>
            </w:r>
            <w:r>
              <w:t>个结构展示，</w:t>
            </w:r>
            <w:r>
              <w:t>9</w:t>
            </w:r>
            <w:r>
              <w:t>个原理演示。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2.16</w:t>
            </w:r>
            <w:r>
              <w:t>个结构展示包含荣威</w:t>
            </w:r>
            <w:r>
              <w:t>E50</w:t>
            </w:r>
            <w:r>
              <w:t>（纯电动汽车）动力系统结构、电驱系统结构、动力电池系统结构、电控系统结构、电动机组件结构、电力电子箱组件结构、减速器组件结构、电驱冷却系统组件结构、高压电池包组件结构、高压配电单元组件结构、动力电池充电系统结构、动力电池冷却系统组件结构、</w:t>
            </w:r>
            <w:r>
              <w:t>VCU</w:t>
            </w:r>
            <w:r>
              <w:t>结构、换挡杆组件结构、加速踏板传感器结构、制动位置传感器结构。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3.9</w:t>
            </w:r>
            <w:r>
              <w:t>个原理演示包含荣威</w:t>
            </w:r>
            <w:r>
              <w:t>E50</w:t>
            </w:r>
            <w:r>
              <w:t>（纯电动汽车）动力系统原理、电驱系统原理、动力电池系统原理、电控系统原理、减速器组件原理、电驱冷却系统组件原理、高压配电单元组件原理、动力电池充电系统原理、动力电池冷却系统组件原理。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三、技术要求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1.</w:t>
            </w:r>
            <w:r>
              <w:t>结构必须展示真实零件的标记、零件特征。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2.</w:t>
            </w:r>
            <w:r>
              <w:t>原理必须模拟荣威</w:t>
            </w:r>
            <w:r>
              <w:t>E50</w:t>
            </w:r>
            <w:r>
              <w:t>（纯电动汽车）动力系统运行时的电器工作及机械的运动情况。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3.</w:t>
            </w:r>
            <w:r>
              <w:t>采用</w:t>
            </w:r>
            <w:r>
              <w:t xml:space="preserve">Unity </w:t>
            </w:r>
            <w:r>
              <w:t>纯三维引擎交互技术，</w:t>
            </w:r>
            <w:r>
              <w:t>360</w:t>
            </w:r>
            <w:r>
              <w:t>度全方位展示荣威</w:t>
            </w:r>
            <w:r>
              <w:t>E50</w:t>
            </w:r>
            <w:r>
              <w:t>（纯电动汽车）动力系统，可以缩放大小以方便结构原理演示。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4.</w:t>
            </w:r>
            <w:r>
              <w:t>采用多点触摸操作方式加强用户交互体验舒适度。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lastRenderedPageBreak/>
              <w:t>5.</w:t>
            </w:r>
            <w:r>
              <w:t>可支持运行在智能触摸交互平板，清晰的展示结构及工作原理。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6.</w:t>
            </w:r>
            <w:r>
              <w:t>支持在线更新的方式，用户更方便快捷的更新内容。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四、配套教学材料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</w:pPr>
            <w:r>
              <w:t>1.</w:t>
            </w:r>
            <w:r>
              <w:t>配套教学材料必须包含教具配套教材、学习工作页、教学参考书等。</w:t>
            </w:r>
          </w:p>
          <w:p w:rsidR="00630CCF" w:rsidRDefault="00584025">
            <w:pPr>
              <w:jc w:val="left"/>
            </w:pPr>
            <w:r>
              <w:t>2.</w:t>
            </w:r>
            <w:r>
              <w:t>配套教材包含</w:t>
            </w:r>
            <w:r>
              <w:t>4</w:t>
            </w:r>
            <w:r>
              <w:t>个系统，</w:t>
            </w:r>
            <w:r>
              <w:t>4</w:t>
            </w:r>
            <w:r>
              <w:t>个教学项目，</w:t>
            </w:r>
            <w:r>
              <w:t>18</w:t>
            </w:r>
            <w:r>
              <w:t>个教学知识点。学习工作页、教学参考书根据教学项目开发。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630CCF" w:rsidRDefault="00584025">
            <w:pPr>
              <w:jc w:val="left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584025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left"/>
            </w:pPr>
          </w:p>
        </w:tc>
      </w:tr>
      <w:tr w:rsidR="00630CCF">
        <w:trPr>
          <w:trHeight w:val="462"/>
        </w:trPr>
        <w:tc>
          <w:tcPr>
            <w:tcW w:w="1996" w:type="dxa"/>
            <w:vAlign w:val="center"/>
          </w:tcPr>
          <w:p w:rsidR="00630CCF" w:rsidRDefault="00584025">
            <w:pPr>
              <w:spacing w:line="50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新能源汽车电池虚拟结构原理展示台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630CCF" w:rsidRDefault="00584025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技术参数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1.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功能描述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结构展示：以爆炸的方式展示铅酸蓄电池、镍氢电池、三元锂电池、磷酸铁锂电池的结构。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原理演示：模拟铅酸蓄电池、镍氢电池、三元锂电池、磷酸铁锂电池的工作原理。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展示特效：模拟铅酸蓄电池、镍氢电池、三元锂电池、磷酸铁锂电池中化学反应。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手势操作：触摸操作，支持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点缩放，滑动旋转，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点平移操作。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5)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零部件名称显示：结构爆炸后的零件可显示或隐藏对应的名称。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6)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旋转限制：上旋转幅度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70°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，下旋转幅度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45°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，左右旋转幅度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360°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2.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教学项目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提供铅酸蓄电池、镍氢电池、三元锂电池、磷酸铁锂电池共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13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个结构展示、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9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个原理演示。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2)13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个结构展示包含电池结构、铅酸蓄电池结构、铅酸蓄电池壳体结构、铅酸蓄电池电芯结构、镍氢电池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lastRenderedPageBreak/>
              <w:t>结构、镍氢电池壳体结构、镍氢电池电芯结构、三元锂电池结构、三元锂电池壳体结构、三元锂电池电芯结构、磷酸铁锂电池结构、磷酸铁锂电池壳体结构、磷酸铁锂电池电芯结构。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3)9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个原理演示包含电池原理、铅酸蓄电池原理、铅酸蓄电池电芯原理、镍氢电池原理、镍氢电池电芯原理、三元锂电池原理、三元锂电池电芯原理、磷酸铁锂电池原理、磷酸铁锂电池电芯原理。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3.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技术特性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1)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结构展示必须展示真实零件的标记、零件特征。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2)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采用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 xml:space="preserve">Unity 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纯三维引擎交互技术，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360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度全方位展示，可以缩放大小以方便结构展示。</w:t>
            </w:r>
          </w:p>
          <w:p w:rsidR="00630CCF" w:rsidRDefault="0058402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3)</w:t>
            </w: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采用多点触摸操作方式加强用户交互体验舒适度。</w:t>
            </w:r>
          </w:p>
          <w:p w:rsidR="00630CCF" w:rsidRDefault="00584025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Style w:val="font101"/>
                <w:rFonts w:ascii="Times New Roman" w:hAnsi="Times New Roman" w:cs="Times New Roman" w:hint="default"/>
                <w:color w:val="000000" w:themeColor="text1"/>
                <w:sz w:val="21"/>
                <w:szCs w:val="21"/>
              </w:rPr>
              <w:t>支持在线更新的方式，用户更方便快捷的更新内容。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630CCF" w:rsidRDefault="00630CC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630CCF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一体机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:rsidR="00630CCF" w:rsidRDefault="00584025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技术参数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（一）43寸一体机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1）尺寸≥43寸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2）屏类型：液晶面板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3）分辨率：≥1920 × 1080 (FHD) @60hz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4）亮度(典型值)： 350cd/m2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5）对比度(典型值)： ≥5000:1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6）可视角度(水平/垂直) ：178°/178°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7）显示比例：16：9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8）响应时间：&gt;8ms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9）寿命 &gt;100000H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（2）电容触摸特性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lastRenderedPageBreak/>
              <w:t xml:space="preserve">1）投射式电容屏：≥10点触控 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2）支持系统：windwos 7/8  32/64位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3）触摸力度：零压力触摸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4）感应次数寿命：≥600万次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5）响应时间：&gt;5ms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（3）工控主机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1）CPU：Intel Core i5-6400四核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2）GPU：GT1030 2G独显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3）内存：≥8G DDR3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4）硬盘：≥256G SSD</w:t>
            </w:r>
          </w:p>
          <w:p w:rsidR="00630CCF" w:rsidRDefault="00630CCF">
            <w:pPr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630CCF" w:rsidRDefault="005840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left"/>
            </w:pPr>
          </w:p>
        </w:tc>
      </w:tr>
      <w:tr w:rsidR="00630CCF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630CCF" w:rsidRDefault="00584025">
            <w:pPr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cstheme="majorBidi" w:hint="eastAsia"/>
                <w:color w:val="000000" w:themeColor="text1"/>
                <w:sz w:val="24"/>
                <w:szCs w:val="24"/>
              </w:rPr>
              <w:t>背景墙设计与玻璃贴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:rsidR="00630CCF" w:rsidRDefault="00584025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技术参数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1.内容要求：主要围绕每块体验内容进行环境文化建设。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2.技术要求：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1）材质：玻璃贴</w:t>
            </w:r>
          </w:p>
          <w:p w:rsidR="00630CCF" w:rsidRDefault="00584025">
            <w:pPr>
              <w:widowControl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2）尺寸：2000*2500mm</w:t>
            </w:r>
          </w:p>
          <w:p w:rsidR="00630CCF" w:rsidRDefault="00584025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1"/>
                <w:szCs w:val="21"/>
              </w:rPr>
              <w:t>数量8个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630CCF" w:rsidRDefault="005840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0CCF" w:rsidRDefault="00630CCF">
            <w:pPr>
              <w:jc w:val="left"/>
            </w:pPr>
          </w:p>
        </w:tc>
      </w:tr>
      <w:tr w:rsidR="00630CCF">
        <w:trPr>
          <w:trHeight w:val="90"/>
        </w:trPr>
        <w:tc>
          <w:tcPr>
            <w:tcW w:w="1996" w:type="dxa"/>
            <w:vAlign w:val="center"/>
          </w:tcPr>
          <w:p w:rsidR="00630CCF" w:rsidRDefault="0058402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一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color w:val="000000" w:themeColor="text1"/>
                <w:szCs w:val="21"/>
              </w:rPr>
              <w:t>供应商资格要求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、符合《政府采购法》第二十二条规定的供应商；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、营业</w:t>
            </w:r>
            <w:r>
              <w:rPr>
                <w:color w:val="000000" w:themeColor="text1"/>
                <w:szCs w:val="21"/>
              </w:rPr>
              <w:t>执照中</w:t>
            </w:r>
            <w:r>
              <w:rPr>
                <w:rFonts w:hint="eastAsia"/>
                <w:color w:val="000000" w:themeColor="text1"/>
                <w:szCs w:val="21"/>
              </w:rPr>
              <w:t>有</w:t>
            </w:r>
            <w:r>
              <w:rPr>
                <w:color w:val="000000" w:themeColor="text1"/>
                <w:szCs w:val="21"/>
              </w:rPr>
              <w:t>与本项目</w:t>
            </w:r>
            <w:r>
              <w:rPr>
                <w:rFonts w:hint="eastAsia"/>
                <w:color w:val="000000" w:themeColor="text1"/>
                <w:szCs w:val="21"/>
              </w:rPr>
              <w:t>采购</w:t>
            </w:r>
            <w:r>
              <w:rPr>
                <w:color w:val="000000" w:themeColor="text1"/>
                <w:szCs w:val="21"/>
              </w:rPr>
              <w:t>内容相关的经营</w:t>
            </w:r>
            <w:r>
              <w:rPr>
                <w:rFonts w:hint="eastAsia"/>
                <w:color w:val="000000" w:themeColor="text1"/>
                <w:szCs w:val="21"/>
              </w:rPr>
              <w:t>范围。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color w:val="000000" w:themeColor="text1"/>
                <w:szCs w:val="21"/>
              </w:rPr>
              <w:t>报价要求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、报价应包含运输、保险、安装、调试、税费等</w:t>
            </w:r>
            <w:r>
              <w:rPr>
                <w:rFonts w:hint="eastAsia"/>
                <w:color w:val="000000" w:themeColor="text1"/>
                <w:szCs w:val="21"/>
              </w:rPr>
              <w:t>本项目产生的</w:t>
            </w:r>
            <w:r>
              <w:rPr>
                <w:color w:val="000000" w:themeColor="text1"/>
                <w:szCs w:val="21"/>
              </w:rPr>
              <w:t>所有费用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、交</w:t>
            </w:r>
            <w:r>
              <w:rPr>
                <w:rFonts w:hint="eastAsia"/>
                <w:color w:val="000000" w:themeColor="text1"/>
                <w:szCs w:val="21"/>
              </w:rPr>
              <w:t>货地点：无锡职业技术学院内指定地点；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</w:t>
            </w:r>
            <w:r>
              <w:rPr>
                <w:color w:val="000000" w:themeColor="text1"/>
                <w:szCs w:val="21"/>
              </w:rPr>
              <w:t>、供货期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color w:val="FF0000"/>
                <w:szCs w:val="21"/>
              </w:rPr>
              <w:t>2023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30</w:t>
            </w:r>
            <w:r>
              <w:rPr>
                <w:rFonts w:hint="eastAsia"/>
                <w:color w:val="FF0000"/>
                <w:szCs w:val="21"/>
              </w:rPr>
              <w:t>日前供货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lastRenderedPageBreak/>
              <w:t>4</w:t>
            </w:r>
            <w:r>
              <w:rPr>
                <w:rFonts w:hint="eastAsia"/>
                <w:color w:val="000000" w:themeColor="text1"/>
                <w:szCs w:val="21"/>
              </w:rPr>
              <w:t>、质量保证：必须是全新合格产品，一年质保承诺函；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color w:val="000000" w:themeColor="text1"/>
                <w:szCs w:val="21"/>
              </w:rPr>
              <w:t>付款</w:t>
            </w:r>
            <w:r>
              <w:rPr>
                <w:rFonts w:hint="eastAsia"/>
                <w:color w:val="000000" w:themeColor="text1"/>
                <w:szCs w:val="21"/>
              </w:rPr>
              <w:t>方式：安装调试完毕，经校方验收合格后，</w:t>
            </w:r>
            <w:r>
              <w:rPr>
                <w:color w:val="000000" w:themeColor="text1"/>
                <w:szCs w:val="21"/>
              </w:rPr>
              <w:t>支付至合同总金额；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color w:val="000000" w:themeColor="text1"/>
                <w:szCs w:val="21"/>
              </w:rPr>
              <w:t>本项目联系人</w:t>
            </w:r>
            <w:r>
              <w:rPr>
                <w:rFonts w:hint="eastAsia"/>
                <w:color w:val="000000" w:themeColor="text1"/>
                <w:szCs w:val="21"/>
              </w:rPr>
              <w:t>：叶林，电话</w:t>
            </w:r>
            <w:r>
              <w:rPr>
                <w:color w:val="000000" w:themeColor="text1"/>
                <w:szCs w:val="21"/>
              </w:rPr>
              <w:t>18912351618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、本项目最高限价为</w:t>
            </w:r>
            <w:r>
              <w:rPr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万元，报价超过最高限价为无效报价；</w:t>
            </w: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、报价文件中除报价资料外还应包含以下资料（</w:t>
            </w:r>
            <w:r>
              <w:rPr>
                <w:rFonts w:hint="eastAsia"/>
                <w:color w:val="FF0000"/>
                <w:szCs w:val="21"/>
              </w:rPr>
              <w:t>均需加盖公章</w:t>
            </w:r>
            <w:r>
              <w:rPr>
                <w:rFonts w:hint="eastAsia"/>
                <w:color w:val="000000" w:themeColor="text1"/>
                <w:szCs w:val="21"/>
              </w:rPr>
              <w:t>）：（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）营业执照复印件，（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）法定代表人身份证复印件，（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）授权代表还需提供法人授权委托书原件，（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）授权代表身份证复印件（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）样片</w:t>
            </w:r>
          </w:p>
          <w:p w:rsidR="00630CCF" w:rsidRDefault="00584025">
            <w:pPr>
              <w:rPr>
                <w:color w:val="FF0000"/>
              </w:rPr>
            </w:pPr>
            <w:r>
              <w:rPr>
                <w:rFonts w:ascii="宋体" w:hAnsi="宋体"/>
                <w:color w:val="FF0000"/>
                <w:szCs w:val="21"/>
                <w:highlight w:val="yellow"/>
              </w:rPr>
              <w:t>9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、本项目需提供“纯电动汽车动力系统虚拟结构原理展示台”、“新能源汽车电池虚拟结构原理展示台”进行现场演示，样片请使用U盘。</w:t>
            </w:r>
          </w:p>
          <w:p w:rsidR="00630CCF" w:rsidRDefault="00630CCF">
            <w:pPr>
              <w:pStyle w:val="2"/>
            </w:pPr>
          </w:p>
          <w:p w:rsidR="00630CCF" w:rsidRDefault="0058402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三、确定成交单位</w:t>
            </w:r>
          </w:p>
          <w:p w:rsidR="00630CCF" w:rsidRDefault="00584025"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>
              <w:rPr>
                <w:rFonts w:hint="eastAsia"/>
                <w:color w:val="000000" w:themeColor="text1"/>
              </w:rPr>
              <w:t>2023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:30</w:t>
            </w:r>
            <w:r>
              <w:rPr>
                <w:rFonts w:hint="eastAsia"/>
                <w:color w:val="000000" w:themeColor="text1"/>
              </w:rPr>
              <w:t>前</w:t>
            </w:r>
            <w:r>
              <w:rPr>
                <w:rFonts w:hint="eastAsia"/>
                <w:color w:val="FF0000"/>
              </w:rPr>
              <w:t>密封</w:t>
            </w:r>
            <w:r>
              <w:rPr>
                <w:rFonts w:hint="eastAsia"/>
                <w:color w:val="000000" w:themeColor="text1"/>
              </w:rPr>
              <w:t>寄送至无锡职业技术学院报价文件采用邮寄方式（到付拒收），报价人应充分考虑邮件在途时间，保证报价文件能够在截止时间之前送达学校。邮件寄出报价文件时务必联系告知邮件单号）。</w:t>
            </w:r>
          </w:p>
          <w:p w:rsidR="00630CCF" w:rsidRDefault="00584025">
            <w:pPr>
              <w:autoSpaceDE w:val="0"/>
              <w:autoSpaceDN w:val="0"/>
              <w:adjustRightInd w:val="0"/>
              <w:rPr>
                <w:color w:val="000000" w:themeColor="text1"/>
                <w:szCs w:val="21"/>
              </w:rPr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630CCF" w:rsidRDefault="00630CCF">
            <w:pPr>
              <w:pStyle w:val="4"/>
            </w:pPr>
          </w:p>
        </w:tc>
      </w:tr>
      <w:tr w:rsidR="00630CCF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630CCF" w:rsidRDefault="0058402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630CCF" w:rsidRDefault="00584025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202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color w:val="0000FF"/>
                <w:sz w:val="24"/>
                <w:u w:val="single"/>
              </w:rPr>
              <w:t>6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color w:val="0000FF"/>
                <w:sz w:val="24"/>
                <w:u w:val="single"/>
              </w:rPr>
              <w:t>8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</w:t>
            </w:r>
            <w:r w:rsidR="001C38F4">
              <w:rPr>
                <w:color w:val="0000FF"/>
                <w:sz w:val="24"/>
                <w:u w:val="single"/>
              </w:rPr>
              <w:t>2</w:t>
            </w:r>
            <w:bookmarkStart w:id="0" w:name="_GoBack"/>
            <w:bookmarkEnd w:id="0"/>
            <w:r>
              <w:rPr>
                <w:rFonts w:hint="eastAsia"/>
                <w:color w:val="0000FF"/>
                <w:sz w:val="24"/>
                <w:u w:val="single"/>
              </w:rPr>
              <w:t>0</w:t>
            </w:r>
          </w:p>
          <w:p w:rsidR="00630CCF" w:rsidRDefault="00584025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</w:t>
            </w:r>
            <w:r>
              <w:rPr>
                <w:color w:val="0000FF"/>
                <w:sz w:val="24"/>
                <w:u w:val="single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CCF" w:rsidRDefault="0058402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630CCF" w:rsidRDefault="0058402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630CCF" w:rsidRDefault="00584025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630CCF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630CCF" w:rsidRDefault="00584025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630CCF" w:rsidRDefault="00584025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630CCF" w:rsidRDefault="00630CCF">
      <w:pPr>
        <w:tabs>
          <w:tab w:val="left" w:pos="3664"/>
        </w:tabs>
        <w:jc w:val="left"/>
      </w:pPr>
    </w:p>
    <w:sectPr w:rsidR="00630C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F3" w:rsidRDefault="00D775F3" w:rsidP="001C38F4">
      <w:r>
        <w:separator/>
      </w:r>
    </w:p>
  </w:endnote>
  <w:endnote w:type="continuationSeparator" w:id="0">
    <w:p w:rsidR="00D775F3" w:rsidRDefault="00D775F3" w:rsidP="001C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F3" w:rsidRDefault="00D775F3" w:rsidP="001C38F4">
      <w:r>
        <w:separator/>
      </w:r>
    </w:p>
  </w:footnote>
  <w:footnote w:type="continuationSeparator" w:id="0">
    <w:p w:rsidR="00D775F3" w:rsidRDefault="00D775F3" w:rsidP="001C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MDg2MTEwMmQxNWY2NGJlN2Y0NjhiZmFiOWFkMjcifQ=="/>
  </w:docVars>
  <w:rsids>
    <w:rsidRoot w:val="0013120D"/>
    <w:rsid w:val="00001AAC"/>
    <w:rsid w:val="00060285"/>
    <w:rsid w:val="00064811"/>
    <w:rsid w:val="000839B1"/>
    <w:rsid w:val="00085D6D"/>
    <w:rsid w:val="00090C26"/>
    <w:rsid w:val="00095CB3"/>
    <w:rsid w:val="000A231A"/>
    <w:rsid w:val="000B2C08"/>
    <w:rsid w:val="000C730C"/>
    <w:rsid w:val="00100CF1"/>
    <w:rsid w:val="00107F4F"/>
    <w:rsid w:val="00120177"/>
    <w:rsid w:val="0012099C"/>
    <w:rsid w:val="001247B2"/>
    <w:rsid w:val="00125760"/>
    <w:rsid w:val="0013120D"/>
    <w:rsid w:val="00147756"/>
    <w:rsid w:val="00157FEA"/>
    <w:rsid w:val="00180F03"/>
    <w:rsid w:val="00181010"/>
    <w:rsid w:val="00181B54"/>
    <w:rsid w:val="001867AC"/>
    <w:rsid w:val="001B2A31"/>
    <w:rsid w:val="001C38F4"/>
    <w:rsid w:val="00201CE9"/>
    <w:rsid w:val="00215841"/>
    <w:rsid w:val="002159BD"/>
    <w:rsid w:val="0022143A"/>
    <w:rsid w:val="0024322F"/>
    <w:rsid w:val="00244A7C"/>
    <w:rsid w:val="00293049"/>
    <w:rsid w:val="002B7785"/>
    <w:rsid w:val="002C02A4"/>
    <w:rsid w:val="002D5537"/>
    <w:rsid w:val="002E0C9B"/>
    <w:rsid w:val="002E3700"/>
    <w:rsid w:val="002E51FA"/>
    <w:rsid w:val="002E6567"/>
    <w:rsid w:val="002F61CD"/>
    <w:rsid w:val="00310754"/>
    <w:rsid w:val="003139D6"/>
    <w:rsid w:val="00362BAE"/>
    <w:rsid w:val="00364B31"/>
    <w:rsid w:val="00372025"/>
    <w:rsid w:val="003A01A8"/>
    <w:rsid w:val="003A238B"/>
    <w:rsid w:val="003B72AF"/>
    <w:rsid w:val="003D1B34"/>
    <w:rsid w:val="003D6CFA"/>
    <w:rsid w:val="003E0147"/>
    <w:rsid w:val="003E4139"/>
    <w:rsid w:val="003E7372"/>
    <w:rsid w:val="003F7A06"/>
    <w:rsid w:val="00400D09"/>
    <w:rsid w:val="004011F9"/>
    <w:rsid w:val="004024DB"/>
    <w:rsid w:val="004147F2"/>
    <w:rsid w:val="00415C06"/>
    <w:rsid w:val="00423C7B"/>
    <w:rsid w:val="00426BB5"/>
    <w:rsid w:val="00441E65"/>
    <w:rsid w:val="004436D8"/>
    <w:rsid w:val="00466D18"/>
    <w:rsid w:val="00473A8F"/>
    <w:rsid w:val="004C1EE8"/>
    <w:rsid w:val="004C437D"/>
    <w:rsid w:val="004D0FCE"/>
    <w:rsid w:val="004D35C3"/>
    <w:rsid w:val="004D6F5F"/>
    <w:rsid w:val="004E6DD7"/>
    <w:rsid w:val="004F2CFD"/>
    <w:rsid w:val="004F4E80"/>
    <w:rsid w:val="00500801"/>
    <w:rsid w:val="00516F7C"/>
    <w:rsid w:val="0052310B"/>
    <w:rsid w:val="0054422F"/>
    <w:rsid w:val="00545368"/>
    <w:rsid w:val="0055481C"/>
    <w:rsid w:val="0056647B"/>
    <w:rsid w:val="00567361"/>
    <w:rsid w:val="00573918"/>
    <w:rsid w:val="00584025"/>
    <w:rsid w:val="0059516A"/>
    <w:rsid w:val="005971D8"/>
    <w:rsid w:val="00597766"/>
    <w:rsid w:val="005D21B9"/>
    <w:rsid w:val="005F57A1"/>
    <w:rsid w:val="005F7E16"/>
    <w:rsid w:val="00625FF5"/>
    <w:rsid w:val="00630CCF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B1C5A"/>
    <w:rsid w:val="006B1EF7"/>
    <w:rsid w:val="006C4B6A"/>
    <w:rsid w:val="006E54FF"/>
    <w:rsid w:val="006E6F30"/>
    <w:rsid w:val="007013A7"/>
    <w:rsid w:val="00713347"/>
    <w:rsid w:val="00721770"/>
    <w:rsid w:val="00734DD9"/>
    <w:rsid w:val="007450C0"/>
    <w:rsid w:val="007460B2"/>
    <w:rsid w:val="007509DC"/>
    <w:rsid w:val="00760542"/>
    <w:rsid w:val="00763DAC"/>
    <w:rsid w:val="00792FBB"/>
    <w:rsid w:val="0079472E"/>
    <w:rsid w:val="007B0166"/>
    <w:rsid w:val="007C6DCC"/>
    <w:rsid w:val="007D0A43"/>
    <w:rsid w:val="007E309A"/>
    <w:rsid w:val="007F0D81"/>
    <w:rsid w:val="007F31E2"/>
    <w:rsid w:val="007F5DE6"/>
    <w:rsid w:val="0081218E"/>
    <w:rsid w:val="0082115B"/>
    <w:rsid w:val="00822DA7"/>
    <w:rsid w:val="0083399F"/>
    <w:rsid w:val="00853903"/>
    <w:rsid w:val="00854511"/>
    <w:rsid w:val="008675C5"/>
    <w:rsid w:val="00871F61"/>
    <w:rsid w:val="00873BF7"/>
    <w:rsid w:val="00874599"/>
    <w:rsid w:val="0087481D"/>
    <w:rsid w:val="00875CEF"/>
    <w:rsid w:val="00877CC4"/>
    <w:rsid w:val="008979D8"/>
    <w:rsid w:val="008A6DB4"/>
    <w:rsid w:val="008F42B6"/>
    <w:rsid w:val="00937023"/>
    <w:rsid w:val="009554E8"/>
    <w:rsid w:val="0095639E"/>
    <w:rsid w:val="00963159"/>
    <w:rsid w:val="009646AC"/>
    <w:rsid w:val="0099094F"/>
    <w:rsid w:val="009B26D3"/>
    <w:rsid w:val="009C1F11"/>
    <w:rsid w:val="009C729A"/>
    <w:rsid w:val="009D43AC"/>
    <w:rsid w:val="009F096D"/>
    <w:rsid w:val="009F1AE3"/>
    <w:rsid w:val="009F552E"/>
    <w:rsid w:val="00A011F1"/>
    <w:rsid w:val="00A147D3"/>
    <w:rsid w:val="00A215FD"/>
    <w:rsid w:val="00A237AA"/>
    <w:rsid w:val="00A32A09"/>
    <w:rsid w:val="00A34C9E"/>
    <w:rsid w:val="00A36779"/>
    <w:rsid w:val="00A409E8"/>
    <w:rsid w:val="00A40B4C"/>
    <w:rsid w:val="00A62995"/>
    <w:rsid w:val="00A62AE9"/>
    <w:rsid w:val="00A804E4"/>
    <w:rsid w:val="00A85BB5"/>
    <w:rsid w:val="00AA1CD9"/>
    <w:rsid w:val="00AA7C52"/>
    <w:rsid w:val="00AD2803"/>
    <w:rsid w:val="00B3203E"/>
    <w:rsid w:val="00B624BF"/>
    <w:rsid w:val="00B7602A"/>
    <w:rsid w:val="00B83732"/>
    <w:rsid w:val="00B96498"/>
    <w:rsid w:val="00BA46BE"/>
    <w:rsid w:val="00BB4333"/>
    <w:rsid w:val="00BF30B5"/>
    <w:rsid w:val="00C01130"/>
    <w:rsid w:val="00C0283E"/>
    <w:rsid w:val="00C0403C"/>
    <w:rsid w:val="00C12B8E"/>
    <w:rsid w:val="00C27324"/>
    <w:rsid w:val="00C34C45"/>
    <w:rsid w:val="00C9051C"/>
    <w:rsid w:val="00CA0D00"/>
    <w:rsid w:val="00CA4131"/>
    <w:rsid w:val="00CB17C4"/>
    <w:rsid w:val="00CE31D6"/>
    <w:rsid w:val="00D01FBE"/>
    <w:rsid w:val="00D25650"/>
    <w:rsid w:val="00D53C82"/>
    <w:rsid w:val="00D56E04"/>
    <w:rsid w:val="00D63241"/>
    <w:rsid w:val="00D6621D"/>
    <w:rsid w:val="00D775F3"/>
    <w:rsid w:val="00D83A21"/>
    <w:rsid w:val="00DD00FE"/>
    <w:rsid w:val="00DD6B09"/>
    <w:rsid w:val="00E03270"/>
    <w:rsid w:val="00E048C0"/>
    <w:rsid w:val="00E21B17"/>
    <w:rsid w:val="00E3494B"/>
    <w:rsid w:val="00E43381"/>
    <w:rsid w:val="00E600DF"/>
    <w:rsid w:val="00E60D23"/>
    <w:rsid w:val="00E72DFD"/>
    <w:rsid w:val="00E7388F"/>
    <w:rsid w:val="00E86472"/>
    <w:rsid w:val="00EB1502"/>
    <w:rsid w:val="00ED4594"/>
    <w:rsid w:val="00ED6E22"/>
    <w:rsid w:val="00F00DE5"/>
    <w:rsid w:val="00F1714A"/>
    <w:rsid w:val="00F20A8B"/>
    <w:rsid w:val="00F25B3A"/>
    <w:rsid w:val="00F26EFE"/>
    <w:rsid w:val="00F30092"/>
    <w:rsid w:val="00F34394"/>
    <w:rsid w:val="00F367D1"/>
    <w:rsid w:val="00F57B5E"/>
    <w:rsid w:val="00F67077"/>
    <w:rsid w:val="00FA5813"/>
    <w:rsid w:val="00FD0B08"/>
    <w:rsid w:val="00FE0D74"/>
    <w:rsid w:val="00FF0D67"/>
    <w:rsid w:val="00FF3627"/>
    <w:rsid w:val="00FF5527"/>
    <w:rsid w:val="03A12991"/>
    <w:rsid w:val="04657F2A"/>
    <w:rsid w:val="04721101"/>
    <w:rsid w:val="04910807"/>
    <w:rsid w:val="053D2CF8"/>
    <w:rsid w:val="07524795"/>
    <w:rsid w:val="075B20AB"/>
    <w:rsid w:val="08CA0F9E"/>
    <w:rsid w:val="0A066AB6"/>
    <w:rsid w:val="0D1234CC"/>
    <w:rsid w:val="0DA42347"/>
    <w:rsid w:val="11B14F05"/>
    <w:rsid w:val="1574636D"/>
    <w:rsid w:val="18505401"/>
    <w:rsid w:val="185A16FC"/>
    <w:rsid w:val="186026A8"/>
    <w:rsid w:val="1C185B56"/>
    <w:rsid w:val="1CB25D62"/>
    <w:rsid w:val="1D7263D5"/>
    <w:rsid w:val="1D7E127A"/>
    <w:rsid w:val="1DE15EA2"/>
    <w:rsid w:val="201104DA"/>
    <w:rsid w:val="26143353"/>
    <w:rsid w:val="2876154C"/>
    <w:rsid w:val="29591FA5"/>
    <w:rsid w:val="2E65560C"/>
    <w:rsid w:val="346A0AC1"/>
    <w:rsid w:val="357B3434"/>
    <w:rsid w:val="35F15BAB"/>
    <w:rsid w:val="375C7D15"/>
    <w:rsid w:val="3AFE639F"/>
    <w:rsid w:val="3B395C09"/>
    <w:rsid w:val="3B653F7B"/>
    <w:rsid w:val="3E846C23"/>
    <w:rsid w:val="3FAE7E03"/>
    <w:rsid w:val="406516B3"/>
    <w:rsid w:val="4268588E"/>
    <w:rsid w:val="42A75502"/>
    <w:rsid w:val="45830D0E"/>
    <w:rsid w:val="46165BDA"/>
    <w:rsid w:val="46877DE6"/>
    <w:rsid w:val="46E71FAC"/>
    <w:rsid w:val="4DD74FC1"/>
    <w:rsid w:val="4F62311F"/>
    <w:rsid w:val="518812DB"/>
    <w:rsid w:val="54E737B3"/>
    <w:rsid w:val="56B72407"/>
    <w:rsid w:val="57D82E00"/>
    <w:rsid w:val="581E7394"/>
    <w:rsid w:val="59845403"/>
    <w:rsid w:val="5AB93C88"/>
    <w:rsid w:val="5B60545F"/>
    <w:rsid w:val="5CE37710"/>
    <w:rsid w:val="5D7C30DE"/>
    <w:rsid w:val="5EDD1ADD"/>
    <w:rsid w:val="5F135A16"/>
    <w:rsid w:val="5F462510"/>
    <w:rsid w:val="603C4D89"/>
    <w:rsid w:val="612C626E"/>
    <w:rsid w:val="651C2CCA"/>
    <w:rsid w:val="66C03D06"/>
    <w:rsid w:val="677A0472"/>
    <w:rsid w:val="68984CB5"/>
    <w:rsid w:val="68EE2423"/>
    <w:rsid w:val="6C9928D8"/>
    <w:rsid w:val="6D834E8B"/>
    <w:rsid w:val="70BE73E8"/>
    <w:rsid w:val="77434EF4"/>
    <w:rsid w:val="79A0461D"/>
    <w:rsid w:val="7BB6398D"/>
    <w:rsid w:val="7ECF5E46"/>
    <w:rsid w:val="7FB9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FA70C"/>
  <w15:docId w15:val="{C2D07F43-B198-487E-A165-FF40A830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</w:style>
  <w:style w:type="paragraph" w:styleId="a3">
    <w:name w:val="Body Text Indent"/>
    <w:basedOn w:val="a"/>
    <w:next w:val="a4"/>
    <w:semiHidden/>
    <w:qFormat/>
    <w:pPr>
      <w:ind w:firstLineChars="200" w:firstLine="420"/>
    </w:pPr>
    <w:rPr>
      <w:rFonts w:ascii="华文新魏" w:eastAsia="华文新魏" w:hAnsi="宋体"/>
      <w:color w:val="000000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5">
    <w:name w:val="Plain Text"/>
    <w:basedOn w:val="a"/>
    <w:qFormat/>
    <w:rPr>
      <w:rFonts w:ascii="宋体" w:hAnsi="Courier New"/>
      <w:color w:val="00FFFF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12</cp:revision>
  <cp:lastPrinted>2023-05-30T01:38:00Z</cp:lastPrinted>
  <dcterms:created xsi:type="dcterms:W3CDTF">2023-05-29T01:23:00Z</dcterms:created>
  <dcterms:modified xsi:type="dcterms:W3CDTF">2023-06-05T01:49:00Z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F8B37732592845E291B8B31723D90612_13</vt:lpwstr>
  </property>
</Properties>
</file>