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olor w:val="000000" w:themeColor="text1"/>
          <w:sz w:val="24"/>
          <w:szCs w:val="24"/>
          <w14:textFill>
            <w14:solidFill>
              <w14:schemeClr w14:val="tx1"/>
            </w14:solidFill>
          </w14:textFill>
        </w:rPr>
      </w:pPr>
      <w:r>
        <w:rPr>
          <w:rFonts w:ascii="仿宋_GB2312" w:eastAsia="仿宋_GB2312"/>
          <w:b/>
          <w:bCs/>
          <w:color w:val="000000"/>
          <w:sz w:val="30"/>
          <w:szCs w:val="30"/>
        </w:rPr>
        <w:t>无锡职业技术学院</w:t>
      </w:r>
      <w:r>
        <w:rPr>
          <w:rFonts w:hint="eastAsia" w:ascii="仿宋_GB2312" w:eastAsia="仿宋_GB2312"/>
          <w:b/>
          <w:bCs/>
          <w:color w:val="000000"/>
          <w:sz w:val="30"/>
          <w:szCs w:val="30"/>
        </w:rPr>
        <w:t>存储维保项目（XJ-</w:t>
      </w:r>
      <w:r>
        <w:rPr>
          <w:rFonts w:hint="eastAsia" w:ascii="仿宋_GB2312" w:eastAsia="仿宋_GB2312"/>
          <w:b/>
          <w:bCs/>
          <w:color w:val="000000"/>
          <w:sz w:val="30"/>
          <w:szCs w:val="30"/>
          <w:lang w:val="en-US" w:eastAsia="zh-CN"/>
        </w:rPr>
        <w:t>XXH</w:t>
      </w:r>
      <w:r>
        <w:rPr>
          <w:rFonts w:hint="eastAsia" w:ascii="仿宋_GB2312" w:eastAsia="仿宋_GB2312"/>
          <w:b/>
          <w:bCs/>
          <w:color w:val="000000"/>
          <w:sz w:val="30"/>
          <w:szCs w:val="30"/>
        </w:rPr>
        <w:t>-202</w:t>
      </w:r>
      <w:r>
        <w:rPr>
          <w:rFonts w:ascii="仿宋_GB2312" w:eastAsia="仿宋_GB2312"/>
          <w:b/>
          <w:bCs/>
          <w:color w:val="000000"/>
          <w:sz w:val="30"/>
          <w:szCs w:val="30"/>
        </w:rPr>
        <w:t>30</w:t>
      </w:r>
      <w:r>
        <w:rPr>
          <w:rFonts w:hint="eastAsia" w:ascii="仿宋_GB2312" w:eastAsia="仿宋_GB2312"/>
          <w:b/>
          <w:bCs/>
          <w:color w:val="000000"/>
          <w:sz w:val="30"/>
          <w:szCs w:val="30"/>
          <w:lang w:val="en-US" w:eastAsia="zh-CN"/>
        </w:rPr>
        <w:t>7</w:t>
      </w:r>
      <w:r>
        <w:rPr>
          <w:rFonts w:hint="eastAsia" w:ascii="仿宋_GB2312" w:eastAsia="仿宋_GB2312"/>
          <w:b/>
          <w:bCs/>
          <w:color w:val="000000"/>
          <w:sz w:val="30"/>
          <w:szCs w:val="30"/>
        </w:rPr>
        <w:t>-00</w:t>
      </w:r>
      <w:r>
        <w:rPr>
          <w:rFonts w:hint="eastAsia" w:ascii="仿宋_GB2312" w:eastAsia="仿宋_GB2312"/>
          <w:b/>
          <w:bCs/>
          <w:color w:val="000000"/>
          <w:sz w:val="30"/>
          <w:szCs w:val="30"/>
          <w:lang w:val="en-US" w:eastAsia="zh-CN"/>
        </w:rPr>
        <w:t>3</w:t>
      </w:r>
      <w:r>
        <w:rPr>
          <w:rFonts w:hint="eastAsia" w:ascii="仿宋_GB2312" w:eastAsia="仿宋_GB2312"/>
          <w:b/>
          <w:bCs/>
          <w:color w:val="000000"/>
          <w:sz w:val="30"/>
          <w:szCs w:val="30"/>
        </w:rPr>
        <w:t>）</w:t>
      </w:r>
    </w:p>
    <w:tbl>
      <w:tblPr>
        <w:tblStyle w:val="9"/>
        <w:tblW w:w="150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9"/>
        <w:gridCol w:w="1707"/>
        <w:gridCol w:w="1953"/>
        <w:gridCol w:w="1490"/>
        <w:gridCol w:w="667"/>
        <w:gridCol w:w="2295"/>
        <w:gridCol w:w="588"/>
        <w:gridCol w:w="3827"/>
        <w:gridCol w:w="996"/>
        <w:gridCol w:w="11"/>
        <w:gridCol w:w="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1" w:type="dxa"/>
          <w:trHeight w:val="213" w:hRule="atLeast"/>
          <w:jc w:val="center"/>
        </w:trPr>
        <w:tc>
          <w:tcPr>
            <w:tcW w:w="7356"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023</w:t>
            </w:r>
            <w:r>
              <w:rPr>
                <w:rFonts w:hint="eastAsia"/>
                <w:b/>
                <w:color w:val="000000"/>
                <w:sz w:val="24"/>
              </w:rPr>
              <w:t>年</w:t>
            </w:r>
            <w:r>
              <w:rPr>
                <w:rFonts w:hint="eastAsia"/>
                <w:b/>
                <w:color w:val="000000"/>
                <w:sz w:val="24"/>
                <w:lang w:val="en-US" w:eastAsia="zh-CN"/>
              </w:rPr>
              <w:t>7</w:t>
            </w:r>
            <w:r>
              <w:rPr>
                <w:rFonts w:hint="eastAsia"/>
                <w:b/>
                <w:color w:val="000000"/>
                <w:sz w:val="24"/>
              </w:rPr>
              <w:t>月</w:t>
            </w:r>
            <w:r>
              <w:rPr>
                <w:rFonts w:hint="eastAsia"/>
                <w:b/>
                <w:color w:val="000000"/>
                <w:sz w:val="24"/>
                <w:lang w:val="en-US" w:eastAsia="zh-CN"/>
              </w:rPr>
              <w:t>13</w:t>
            </w:r>
            <w:r>
              <w:rPr>
                <w:rFonts w:hint="eastAsia"/>
                <w:b/>
                <w:color w:val="000000"/>
                <w:sz w:val="24"/>
              </w:rPr>
              <w:t>日</w:t>
            </w:r>
          </w:p>
        </w:tc>
        <w:tc>
          <w:tcPr>
            <w:tcW w:w="2295"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5422" w:type="dxa"/>
            <w:gridSpan w:val="4"/>
            <w:tcBorders>
              <w:top w:val="double" w:color="auto" w:sz="4"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1" w:type="dxa"/>
          <w:jc w:val="center"/>
        </w:trPr>
        <w:tc>
          <w:tcPr>
            <w:tcW w:w="1539" w:type="dxa"/>
            <w:vAlign w:val="center"/>
          </w:tcPr>
          <w:p>
            <w:pPr>
              <w:rPr>
                <w:b/>
                <w:color w:val="000000"/>
                <w:sz w:val="24"/>
              </w:rPr>
            </w:pPr>
            <w:r>
              <w:rPr>
                <w:rFonts w:hint="eastAsia"/>
                <w:b/>
                <w:color w:val="000000"/>
                <w:sz w:val="24"/>
              </w:rPr>
              <w:t>采购人全称</w:t>
            </w:r>
          </w:p>
        </w:tc>
        <w:tc>
          <w:tcPr>
            <w:tcW w:w="5817"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295"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5422" w:type="dxa"/>
            <w:gridSpan w:val="4"/>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1" w:type="dxa"/>
          <w:jc w:val="center"/>
        </w:trPr>
        <w:tc>
          <w:tcPr>
            <w:tcW w:w="1539" w:type="dxa"/>
            <w:vAlign w:val="center"/>
          </w:tcPr>
          <w:p>
            <w:pPr>
              <w:rPr>
                <w:b/>
                <w:color w:val="000000"/>
                <w:sz w:val="24"/>
              </w:rPr>
            </w:pPr>
            <w:r>
              <w:rPr>
                <w:rFonts w:hint="eastAsia"/>
                <w:b/>
                <w:color w:val="000000"/>
                <w:sz w:val="24"/>
              </w:rPr>
              <w:t>采购人详细地址</w:t>
            </w:r>
          </w:p>
        </w:tc>
        <w:tc>
          <w:tcPr>
            <w:tcW w:w="5817"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295"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5422" w:type="dxa"/>
            <w:gridSpan w:val="4"/>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1" w:type="dxa"/>
          <w:trHeight w:val="473" w:hRule="atLeast"/>
          <w:jc w:val="center"/>
        </w:trPr>
        <w:tc>
          <w:tcPr>
            <w:tcW w:w="1539" w:type="dxa"/>
            <w:vAlign w:val="center"/>
          </w:tcPr>
          <w:p>
            <w:pPr>
              <w:spacing w:line="500" w:lineRule="auto"/>
              <w:jc w:val="center"/>
              <w:rPr>
                <w:b/>
                <w:color w:val="000000"/>
                <w:sz w:val="24"/>
              </w:rPr>
            </w:pPr>
            <w:r>
              <w:rPr>
                <w:rFonts w:hint="eastAsia"/>
                <w:b/>
                <w:color w:val="000000"/>
                <w:sz w:val="24"/>
              </w:rPr>
              <w:t>经办人</w:t>
            </w:r>
          </w:p>
        </w:tc>
        <w:tc>
          <w:tcPr>
            <w:tcW w:w="1707" w:type="dxa"/>
            <w:vAlign w:val="center"/>
          </w:tcPr>
          <w:p>
            <w:pPr>
              <w:jc w:val="center"/>
              <w:rPr>
                <w:rFonts w:hint="eastAsia" w:eastAsia="宋体"/>
                <w:b/>
                <w:color w:val="000000"/>
                <w:sz w:val="24"/>
                <w:lang w:val="en-US" w:eastAsia="zh-CN"/>
              </w:rPr>
            </w:pPr>
            <w:r>
              <w:rPr>
                <w:rFonts w:hint="eastAsia"/>
                <w:b/>
                <w:color w:val="000000"/>
                <w:sz w:val="24"/>
                <w:lang w:val="en-US" w:eastAsia="zh-CN"/>
              </w:rPr>
              <w:t>李敏</w:t>
            </w:r>
          </w:p>
        </w:tc>
        <w:tc>
          <w:tcPr>
            <w:tcW w:w="1953" w:type="dxa"/>
            <w:tcBorders>
              <w:right w:val="single" w:color="auto" w:sz="4" w:space="0"/>
            </w:tcBorders>
            <w:vAlign w:val="center"/>
          </w:tcPr>
          <w:p>
            <w:pPr>
              <w:rPr>
                <w:b/>
                <w:color w:val="000000"/>
                <w:sz w:val="24"/>
              </w:rPr>
            </w:pPr>
            <w:r>
              <w:rPr>
                <w:rFonts w:hint="eastAsia"/>
                <w:b/>
                <w:color w:val="000000"/>
                <w:sz w:val="24"/>
              </w:rPr>
              <w:t>联系电话及传真</w:t>
            </w:r>
          </w:p>
        </w:tc>
        <w:tc>
          <w:tcPr>
            <w:tcW w:w="2157" w:type="dxa"/>
            <w:gridSpan w:val="2"/>
            <w:tcBorders>
              <w:left w:val="single" w:color="auto" w:sz="4" w:space="0"/>
              <w:right w:val="dotDotDash" w:color="auto" w:sz="18" w:space="0"/>
            </w:tcBorders>
            <w:vAlign w:val="center"/>
          </w:tcPr>
          <w:p>
            <w:pPr>
              <w:rPr>
                <w:rFonts w:hint="default" w:eastAsia="宋体"/>
                <w:b/>
                <w:color w:val="000000"/>
                <w:sz w:val="24"/>
                <w:lang w:val="en-US" w:eastAsia="zh-CN"/>
              </w:rPr>
            </w:pPr>
            <w:r>
              <w:rPr>
                <w:rFonts w:hint="eastAsia"/>
                <w:b/>
                <w:color w:val="000000"/>
                <w:sz w:val="24"/>
                <w:lang w:val="en-US" w:eastAsia="zh-CN"/>
              </w:rPr>
              <w:t>13961748325</w:t>
            </w:r>
          </w:p>
        </w:tc>
        <w:tc>
          <w:tcPr>
            <w:tcW w:w="2295"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5422" w:type="dxa"/>
            <w:gridSpan w:val="4"/>
            <w:tcBorders>
              <w:top w:val="single" w:color="auto" w:sz="6" w:space="0"/>
              <w:bottom w:val="single" w:color="auto" w:sz="6" w:space="0"/>
            </w:tcBorders>
            <w:vAlign w:val="center"/>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2"/>
          <w:wAfter w:w="32" w:type="dxa"/>
          <w:trHeight w:val="462" w:hRule="atLeast"/>
          <w:jc w:val="center"/>
        </w:trPr>
        <w:tc>
          <w:tcPr>
            <w:tcW w:w="1539" w:type="dxa"/>
            <w:vAlign w:val="center"/>
          </w:tcPr>
          <w:p>
            <w:pPr>
              <w:spacing w:line="500" w:lineRule="auto"/>
              <w:jc w:val="center"/>
              <w:rPr>
                <w:b/>
                <w:color w:val="000000"/>
                <w:sz w:val="24"/>
              </w:rPr>
            </w:pPr>
            <w:r>
              <w:rPr>
                <w:rFonts w:hint="eastAsia"/>
                <w:b/>
                <w:color w:val="000000"/>
                <w:sz w:val="24"/>
              </w:rPr>
              <w:t>服务名称</w:t>
            </w:r>
          </w:p>
        </w:tc>
        <w:tc>
          <w:tcPr>
            <w:tcW w:w="5150" w:type="dxa"/>
            <w:gridSpan w:val="3"/>
            <w:vAlign w:val="center"/>
          </w:tcPr>
          <w:p>
            <w:pPr>
              <w:jc w:val="center"/>
              <w:rPr>
                <w:b/>
                <w:color w:val="000000"/>
                <w:sz w:val="24"/>
              </w:rPr>
            </w:pPr>
            <w:r>
              <w:rPr>
                <w:rFonts w:hint="eastAsia"/>
                <w:b/>
                <w:color w:val="000000"/>
                <w:sz w:val="24"/>
              </w:rPr>
              <w:t>服务内容描述</w:t>
            </w:r>
          </w:p>
        </w:tc>
        <w:tc>
          <w:tcPr>
            <w:tcW w:w="667" w:type="dxa"/>
            <w:tcBorders>
              <w:right w:val="dotDotDash" w:color="auto" w:sz="18" w:space="0"/>
            </w:tcBorders>
            <w:vAlign w:val="center"/>
          </w:tcPr>
          <w:p>
            <w:pPr>
              <w:jc w:val="center"/>
              <w:rPr>
                <w:b/>
                <w:color w:val="000000"/>
                <w:sz w:val="24"/>
              </w:rPr>
            </w:pPr>
            <w:r>
              <w:rPr>
                <w:rFonts w:hint="eastAsia"/>
                <w:b/>
                <w:color w:val="000000"/>
                <w:sz w:val="24"/>
              </w:rPr>
              <w:t>数量</w:t>
            </w:r>
          </w:p>
        </w:tc>
        <w:tc>
          <w:tcPr>
            <w:tcW w:w="6710" w:type="dxa"/>
            <w:gridSpan w:val="3"/>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服务内容描述</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2"/>
          <w:wAfter w:w="32" w:type="dxa"/>
          <w:trHeight w:val="1429" w:hRule="atLeast"/>
          <w:jc w:val="center"/>
        </w:trPr>
        <w:tc>
          <w:tcPr>
            <w:tcW w:w="1539" w:type="dxa"/>
            <w:vMerge w:val="restart"/>
            <w:vAlign w:val="center"/>
          </w:tcPr>
          <w:p>
            <w:r>
              <w:rPr>
                <w:rFonts w:hint="eastAsia"/>
              </w:rPr>
              <w:t>宏杉存储维保</w:t>
            </w:r>
          </w:p>
        </w:tc>
        <w:tc>
          <w:tcPr>
            <w:tcW w:w="5150" w:type="dxa"/>
            <w:gridSpan w:val="3"/>
            <w:vMerge w:val="restart"/>
            <w:vAlign w:val="center"/>
          </w:tcPr>
          <w:tbl>
            <w:tblPr>
              <w:tblStyle w:val="9"/>
              <w:tblW w:w="4995" w:type="pct"/>
              <w:tblInd w:w="0" w:type="dxa"/>
              <w:tblLayout w:type="autofit"/>
              <w:tblCellMar>
                <w:top w:w="0" w:type="dxa"/>
                <w:left w:w="0" w:type="dxa"/>
                <w:bottom w:w="0" w:type="dxa"/>
                <w:right w:w="0" w:type="dxa"/>
              </w:tblCellMar>
            </w:tblPr>
            <w:tblGrid>
              <w:gridCol w:w="417"/>
              <w:gridCol w:w="448"/>
              <w:gridCol w:w="3647"/>
              <w:gridCol w:w="417"/>
            </w:tblGrid>
            <w:tr>
              <w:tblPrEx>
                <w:tblCellMar>
                  <w:top w:w="0" w:type="dxa"/>
                  <w:left w:w="0" w:type="dxa"/>
                  <w:bottom w:w="0" w:type="dxa"/>
                  <w:right w:w="0" w:type="dxa"/>
                </w:tblCellMar>
              </w:tblPrEx>
              <w:trPr>
                <w:trHeight w:val="378" w:hRule="atLeast"/>
              </w:trPr>
              <w:tc>
                <w:tcPr>
                  <w:tcW w:w="42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
                      <w:sz w:val="20"/>
                      <w:szCs w:val="20"/>
                    </w:rPr>
                  </w:pPr>
                  <w:r>
                    <w:rPr>
                      <w:rFonts w:hint="eastAsia" w:ascii="宋体" w:hAnsi="宋体" w:eastAsia="宋体" w:cs="宋体"/>
                      <w:b/>
                      <w:sz w:val="20"/>
                      <w:szCs w:val="20"/>
                      <w:lang w:bidi="ar"/>
                    </w:rPr>
                    <w:t>序号</w:t>
                  </w:r>
                </w:p>
              </w:tc>
              <w:tc>
                <w:tcPr>
                  <w:tcW w:w="454" w:type="pct"/>
                  <w:tcBorders>
                    <w:top w:val="single" w:color="000000" w:sz="8" w:space="0"/>
                    <w:left w:val="single" w:color="000000" w:sz="8" w:space="0"/>
                    <w:bottom w:val="single" w:color="000000" w:sz="8" w:space="0"/>
                    <w:right w:val="single" w:color="auto" w:sz="4" w:space="0"/>
                  </w:tcBorders>
                  <w:shd w:val="clear" w:color="auto" w:fill="auto"/>
                  <w:tcMar>
                    <w:top w:w="15" w:type="dxa"/>
                    <w:left w:w="108" w:type="dxa"/>
                    <w:right w:w="108"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指标项目</w:t>
                  </w:r>
                </w:p>
              </w:tc>
              <w:tc>
                <w:tcPr>
                  <w:tcW w:w="3699" w:type="pct"/>
                  <w:tcBorders>
                    <w:top w:val="single" w:color="000000" w:sz="8" w:space="0"/>
                    <w:left w:val="single" w:color="auto" w:sz="4" w:space="0"/>
                    <w:bottom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
                      <w:sz w:val="20"/>
                      <w:szCs w:val="20"/>
                      <w:lang w:bidi="ar"/>
                    </w:rPr>
                  </w:pPr>
                  <w:r>
                    <w:rPr>
                      <w:rFonts w:hint="eastAsia" w:ascii="宋体" w:hAnsi="宋体" w:eastAsia="宋体" w:cs="宋体"/>
                      <w:b/>
                      <w:sz w:val="20"/>
                      <w:szCs w:val="20"/>
                      <w:lang w:bidi="ar"/>
                    </w:rPr>
                    <w:t>技术要求</w:t>
                  </w:r>
                </w:p>
              </w:tc>
              <w:tc>
                <w:tcPr>
                  <w:tcW w:w="42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
                      <w:sz w:val="20"/>
                      <w:szCs w:val="20"/>
                    </w:rPr>
                  </w:pPr>
                  <w:r>
                    <w:rPr>
                      <w:rFonts w:hint="eastAsia" w:ascii="宋体" w:hAnsi="宋体" w:eastAsia="宋体" w:cs="宋体"/>
                      <w:b/>
                      <w:sz w:val="20"/>
                      <w:szCs w:val="20"/>
                      <w:lang w:bidi="ar"/>
                    </w:rPr>
                    <w:t>数量</w:t>
                  </w:r>
                </w:p>
              </w:tc>
            </w:tr>
            <w:tr>
              <w:tblPrEx>
                <w:tblCellMar>
                  <w:top w:w="0" w:type="dxa"/>
                  <w:left w:w="0" w:type="dxa"/>
                  <w:bottom w:w="0" w:type="dxa"/>
                  <w:right w:w="0" w:type="dxa"/>
                </w:tblCellMar>
              </w:tblPrEx>
              <w:trPr>
                <w:trHeight w:val="378" w:hRule="atLeast"/>
              </w:trPr>
              <w:tc>
                <w:tcPr>
                  <w:tcW w:w="422" w:type="pct"/>
                  <w:vMerge w:val="restart"/>
                  <w:tcBorders>
                    <w:top w:val="single" w:color="000000" w:sz="8" w:space="0"/>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rPr>
                  </w:pPr>
                  <w:r>
                    <w:rPr>
                      <w:rFonts w:hint="eastAsia" w:ascii="宋体" w:hAnsi="宋体" w:eastAsia="宋体" w:cs="宋体"/>
                      <w:sz w:val="20"/>
                      <w:szCs w:val="20"/>
                      <w:lang w:bidi="ar"/>
                    </w:rPr>
                    <w:t>1</w:t>
                  </w:r>
                </w:p>
              </w:tc>
              <w:tc>
                <w:tcPr>
                  <w:tcW w:w="454" w:type="pct"/>
                  <w:vMerge w:val="restart"/>
                  <w:tcBorders>
                    <w:top w:val="single" w:color="000000" w:sz="8" w:space="0"/>
                    <w:left w:val="single" w:color="000000" w:sz="8" w:space="0"/>
                    <w:right w:val="single" w:color="auto" w:sz="4"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lang w:bidi="ar"/>
                    </w:rPr>
                  </w:pPr>
                  <w:r>
                    <w:rPr>
                      <w:rFonts w:hint="eastAsia" w:ascii="宋体" w:hAnsi="宋体" w:eastAsia="宋体" w:cs="宋体"/>
                      <w:sz w:val="20"/>
                      <w:szCs w:val="20"/>
                      <w:lang w:bidi="ar"/>
                    </w:rPr>
                    <w:t>续保服务</w:t>
                  </w:r>
                </w:p>
              </w:tc>
              <w:tc>
                <w:tcPr>
                  <w:tcW w:w="3699" w:type="pct"/>
                  <w:tcBorders>
                    <w:top w:val="single" w:color="000000" w:sz="8" w:space="0"/>
                    <w:left w:val="single" w:color="auto" w:sz="4"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rPr>
                  </w:pPr>
                  <w:r>
                    <w:rPr>
                      <w:rFonts w:hint="eastAsia" w:ascii="宋体" w:hAnsi="宋体" w:eastAsia="宋体" w:cs="宋体"/>
                      <w:sz w:val="20"/>
                      <w:szCs w:val="20"/>
                      <w:lang w:bidi="ar"/>
                    </w:rPr>
                    <w:t>★1、针对</w:t>
                  </w:r>
                  <w:r>
                    <w:rPr>
                      <w:rFonts w:ascii="宋体" w:hAnsi="宋体" w:eastAsia="宋体" w:cs="宋体"/>
                      <w:sz w:val="20"/>
                      <w:szCs w:val="20"/>
                      <w:lang w:bidi="ar"/>
                    </w:rPr>
                    <w:t>MS3000G2</w:t>
                  </w:r>
                  <w:r>
                    <w:rPr>
                      <w:rFonts w:hint="eastAsia" w:ascii="宋体" w:hAnsi="宋体" w:eastAsia="宋体" w:cs="宋体"/>
                      <w:sz w:val="20"/>
                      <w:szCs w:val="20"/>
                      <w:lang w:bidi="ar"/>
                    </w:rPr>
                    <w:t>存储（包括在网一台</w:t>
                  </w:r>
                  <w:r>
                    <w:rPr>
                      <w:rFonts w:ascii="宋体" w:hAnsi="宋体" w:eastAsia="宋体" w:cs="宋体"/>
                      <w:sz w:val="20"/>
                      <w:szCs w:val="20"/>
                      <w:lang w:bidi="ar"/>
                    </w:rPr>
                    <w:t>MS3000G2</w:t>
                  </w:r>
                  <w:r>
                    <w:rPr>
                      <w:rFonts w:hint="eastAsia" w:ascii="宋体" w:hAnsi="宋体" w:eastAsia="宋体" w:cs="宋体"/>
                      <w:sz w:val="20"/>
                      <w:szCs w:val="20"/>
                      <w:lang w:bidi="ar"/>
                    </w:rPr>
                    <w:t>存储控制器，</w:t>
                  </w:r>
                  <w:r>
                    <w:rPr>
                      <w:rFonts w:ascii="宋体" w:hAnsi="宋体" w:eastAsia="宋体" w:cs="宋体"/>
                      <w:sz w:val="20"/>
                      <w:szCs w:val="20"/>
                      <w:lang w:bidi="ar"/>
                    </w:rPr>
                    <w:t>2</w:t>
                  </w:r>
                  <w:r>
                    <w:rPr>
                      <w:rFonts w:hint="eastAsia" w:ascii="宋体" w:hAnsi="宋体" w:eastAsia="宋体" w:cs="宋体"/>
                      <w:sz w:val="20"/>
                      <w:szCs w:val="20"/>
                      <w:lang w:bidi="ar"/>
                    </w:rPr>
                    <w:t>台DSU1616磁盘扩展柜）提供的</w:t>
                  </w:r>
                  <w:r>
                    <w:rPr>
                      <w:rFonts w:hint="eastAsia" w:ascii="宋体" w:hAnsi="宋体" w:cs="宋体"/>
                      <w:sz w:val="20"/>
                      <w:szCs w:val="20"/>
                      <w:lang w:val="en-US" w:eastAsia="zh-CN" w:bidi="ar"/>
                    </w:rPr>
                    <w:t>两</w:t>
                  </w:r>
                  <w:r>
                    <w:rPr>
                      <w:rFonts w:hint="eastAsia" w:ascii="宋体" w:hAnsi="宋体" w:eastAsia="宋体" w:cs="宋体"/>
                      <w:sz w:val="20"/>
                      <w:szCs w:val="20"/>
                      <w:lang w:bidi="ar"/>
                    </w:rPr>
                    <w:t>年原厂商续保服务，含现场支持及备件支持，免费提供技术服务及部件维护，</w:t>
                  </w:r>
                  <w:r>
                    <w:rPr>
                      <w:rFonts w:hint="eastAsia" w:ascii="宋体" w:hAnsi="宋体" w:eastAsia="宋体" w:cs="宋体"/>
                      <w:b/>
                      <w:bCs/>
                      <w:sz w:val="20"/>
                      <w:szCs w:val="20"/>
                      <w:lang w:bidi="ar"/>
                    </w:rPr>
                    <w:t>要求提供原厂商质保承诺函，加盖原厂商章；</w:t>
                  </w:r>
                </w:p>
              </w:tc>
              <w:tc>
                <w:tcPr>
                  <w:tcW w:w="422" w:type="pct"/>
                  <w:vMerge w:val="restart"/>
                  <w:tcBorders>
                    <w:top w:val="single" w:color="000000" w:sz="8" w:space="0"/>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rPr>
                  </w:pPr>
                  <w:r>
                    <w:rPr>
                      <w:rFonts w:hint="eastAsia" w:ascii="宋体" w:hAnsi="宋体" w:eastAsia="宋体" w:cs="宋体"/>
                      <w:bCs/>
                      <w:kern w:val="0"/>
                      <w:sz w:val="20"/>
                      <w:szCs w:val="20"/>
                      <w:lang w:bidi="ar"/>
                    </w:rPr>
                    <w:t>1套</w:t>
                  </w:r>
                </w:p>
              </w:tc>
            </w:tr>
            <w:tr>
              <w:tblPrEx>
                <w:tblCellMar>
                  <w:top w:w="0" w:type="dxa"/>
                  <w:left w:w="0" w:type="dxa"/>
                  <w:bottom w:w="0" w:type="dxa"/>
                  <w:right w:w="0" w:type="dxa"/>
                </w:tblCellMar>
              </w:tblPrEx>
              <w:trPr>
                <w:trHeight w:val="1543" w:hRule="atLeast"/>
              </w:trPr>
              <w:tc>
                <w:tcPr>
                  <w:tcW w:w="422"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lang w:bidi="ar"/>
                    </w:rPr>
                  </w:pPr>
                </w:p>
              </w:tc>
              <w:tc>
                <w:tcPr>
                  <w:tcW w:w="454" w:type="pct"/>
                  <w:vMerge w:val="continue"/>
                  <w:tcBorders>
                    <w:left w:val="single" w:color="000000" w:sz="8" w:space="0"/>
                    <w:right w:val="single" w:color="auto" w:sz="4"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lang w:bidi="ar"/>
                    </w:rPr>
                  </w:pPr>
                </w:p>
              </w:tc>
              <w:tc>
                <w:tcPr>
                  <w:tcW w:w="3699" w:type="pct"/>
                  <w:tcBorders>
                    <w:top w:val="single" w:color="000000" w:sz="8" w:space="0"/>
                    <w:left w:val="single" w:color="auto" w:sz="4" w:space="0"/>
                    <w:right w:val="single" w:color="000000" w:sz="8" w:space="0"/>
                  </w:tcBorders>
                  <w:shd w:val="clear" w:color="auto" w:fill="auto"/>
                  <w:tcMar>
                    <w:top w:w="15" w:type="dxa"/>
                    <w:left w:w="108" w:type="dxa"/>
                    <w:right w:w="108" w:type="dxa"/>
                  </w:tcMar>
                  <w:vAlign w:val="center"/>
                </w:tcPr>
                <w:p>
                  <w:pPr>
                    <w:rPr>
                      <w:rFonts w:ascii="宋体" w:hAnsi="宋体" w:eastAsia="宋体" w:cs="宋体"/>
                      <w:bCs/>
                      <w:sz w:val="20"/>
                      <w:szCs w:val="20"/>
                    </w:rPr>
                  </w:pPr>
                  <w:r>
                    <w:rPr>
                      <w:rFonts w:hint="eastAsia" w:ascii="宋体" w:hAnsi="宋体" w:eastAsia="宋体" w:cs="宋体"/>
                      <w:sz w:val="20"/>
                      <w:szCs w:val="20"/>
                      <w:lang w:bidi="ar"/>
                    </w:rPr>
                    <w:t>2、</w:t>
                  </w:r>
                  <w:r>
                    <w:rPr>
                      <w:rFonts w:hint="eastAsia" w:ascii="宋体" w:hAnsi="宋体" w:eastAsia="宋体" w:cs="宋体"/>
                      <w:bCs/>
                      <w:sz w:val="20"/>
                      <w:szCs w:val="20"/>
                    </w:rPr>
                    <w:t>维保服务要求如下：</w:t>
                  </w:r>
                </w:p>
                <w:p>
                  <w:pPr>
                    <w:numPr>
                      <w:ilvl w:val="0"/>
                      <w:numId w:val="1"/>
                    </w:numPr>
                    <w:rPr>
                      <w:rFonts w:hint="eastAsia" w:ascii="宋体" w:hAnsi="宋体" w:eastAsia="宋体" w:cs="宋体"/>
                      <w:bCs/>
                      <w:sz w:val="20"/>
                      <w:szCs w:val="20"/>
                    </w:rPr>
                  </w:pPr>
                  <w:r>
                    <w:rPr>
                      <w:rFonts w:hint="eastAsia" w:ascii="宋体" w:hAnsi="宋体" w:eastAsia="宋体" w:cs="宋体"/>
                      <w:bCs/>
                      <w:sz w:val="20"/>
                      <w:szCs w:val="20"/>
                    </w:rPr>
                    <w:t>电话支持服务，客户在维护设备过程中，遇到自己不能解决的故障或问题时，通过电话向</w:t>
                  </w:r>
                  <w:r>
                    <w:rPr>
                      <w:rFonts w:hint="eastAsia" w:ascii="宋体" w:hAnsi="宋体" w:eastAsia="宋体" w:cs="宋体"/>
                      <w:bCs/>
                      <w:sz w:val="20"/>
                      <w:szCs w:val="20"/>
                      <w:lang w:val="en-US" w:eastAsia="zh-CN"/>
                    </w:rPr>
                    <w:t>维保服务公司</w:t>
                  </w:r>
                  <w:r>
                    <w:rPr>
                      <w:rFonts w:hint="eastAsia" w:ascii="宋体" w:hAnsi="宋体" w:eastAsia="宋体" w:cs="宋体"/>
                      <w:bCs/>
                      <w:sz w:val="20"/>
                      <w:szCs w:val="20"/>
                    </w:rPr>
                    <w:t>提出服务请求。</w:t>
                  </w:r>
                  <w:r>
                    <w:rPr>
                      <w:rFonts w:hint="eastAsia" w:ascii="宋体" w:hAnsi="宋体" w:eastAsia="宋体" w:cs="宋体"/>
                      <w:bCs/>
                      <w:sz w:val="20"/>
                      <w:szCs w:val="20"/>
                      <w:lang w:val="en-US" w:eastAsia="zh-CN"/>
                    </w:rPr>
                    <w:t>公司</w:t>
                  </w:r>
                  <w:r>
                    <w:rPr>
                      <w:rFonts w:hint="eastAsia" w:ascii="宋体" w:hAnsi="宋体" w:eastAsia="宋体" w:cs="宋体"/>
                      <w:bCs/>
                      <w:sz w:val="20"/>
                      <w:szCs w:val="20"/>
                    </w:rPr>
                    <w:t>接到服务请求后，将在协议约定的服务等级规定的响应时间内通过电话支持服务进行响应</w:t>
                  </w:r>
                  <w:r>
                    <w:rPr>
                      <w:rFonts w:hint="eastAsia" w:ascii="宋体" w:hAnsi="宋体" w:eastAsia="宋体" w:cs="宋体"/>
                      <w:bCs/>
                      <w:sz w:val="20"/>
                      <w:szCs w:val="20"/>
                      <w:lang w:eastAsia="zh-CN"/>
                    </w:rPr>
                    <w:t>（</w:t>
                  </w:r>
                  <w:r>
                    <w:rPr>
                      <w:rFonts w:hint="eastAsia" w:ascii="宋体" w:hAnsi="宋体" w:eastAsia="宋体" w:cs="宋体"/>
                      <w:bCs/>
                      <w:sz w:val="20"/>
                      <w:szCs w:val="20"/>
                    </w:rPr>
                    <w:t>技术支持具体响应时间定义如下：</w:t>
                  </w:r>
                </w:p>
                <w:p>
                  <w:pPr>
                    <w:numPr>
                      <w:ilvl w:val="0"/>
                      <w:numId w:val="0"/>
                    </w:numPr>
                    <w:rPr>
                      <w:rFonts w:hint="eastAsia" w:ascii="宋体" w:hAnsi="宋体" w:eastAsia="宋体" w:cs="宋体"/>
                      <w:bCs/>
                      <w:sz w:val="20"/>
                      <w:szCs w:val="20"/>
                    </w:rPr>
                  </w:pPr>
                  <w:r>
                    <w:rPr>
                      <w:rFonts w:hint="eastAsia" w:ascii="宋体" w:hAnsi="宋体" w:eastAsia="宋体" w:cs="宋体"/>
                      <w:bCs/>
                      <w:sz w:val="20"/>
                      <w:szCs w:val="20"/>
                    </w:rPr>
                    <w:t>P1级故障——影响业务，系统瘫痪或服务中断，设备的基本功能不能实现或全面退化的故障，具有潜在的系统瘫痪或服务中断的危险的故障</w:t>
                  </w:r>
                  <w:r>
                    <w:rPr>
                      <w:rFonts w:hint="eastAsia" w:ascii="宋体" w:hAnsi="宋体" w:cs="宋体"/>
                      <w:bCs/>
                      <w:sz w:val="20"/>
                      <w:szCs w:val="20"/>
                      <w:lang w:eastAsia="zh-CN"/>
                    </w:rPr>
                    <w:t>，</w:t>
                  </w:r>
                  <w:r>
                    <w:rPr>
                      <w:rFonts w:hint="eastAsia" w:ascii="宋体" w:hAnsi="宋体" w:cs="宋体"/>
                      <w:bCs/>
                      <w:sz w:val="20"/>
                      <w:szCs w:val="20"/>
                      <w:lang w:val="en-US" w:eastAsia="zh-CN"/>
                    </w:rPr>
                    <w:t>响应时间1小时内</w:t>
                  </w:r>
                  <w:r>
                    <w:rPr>
                      <w:rFonts w:hint="eastAsia" w:ascii="宋体" w:hAnsi="宋体" w:eastAsia="宋体" w:cs="宋体"/>
                      <w:bCs/>
                      <w:sz w:val="20"/>
                      <w:szCs w:val="20"/>
                    </w:rPr>
                    <w:t>。</w:t>
                  </w:r>
                </w:p>
                <w:p>
                  <w:pPr>
                    <w:numPr>
                      <w:ilvl w:val="0"/>
                      <w:numId w:val="0"/>
                    </w:numPr>
                    <w:rPr>
                      <w:rFonts w:hint="eastAsia" w:ascii="宋体" w:hAnsi="宋体" w:eastAsia="宋体" w:cs="宋体"/>
                      <w:bCs/>
                      <w:sz w:val="20"/>
                      <w:szCs w:val="20"/>
                    </w:rPr>
                  </w:pPr>
                  <w:r>
                    <w:rPr>
                      <w:rFonts w:hint="eastAsia" w:ascii="宋体" w:hAnsi="宋体" w:eastAsia="宋体" w:cs="宋体"/>
                      <w:bCs/>
                      <w:sz w:val="20"/>
                      <w:szCs w:val="20"/>
                    </w:rPr>
                    <w:t>P2级故障——部分影响业务，导致系统性能或服务部分退化的故障，用户重点关注的一般问题</w:t>
                  </w:r>
                  <w:r>
                    <w:rPr>
                      <w:rFonts w:hint="eastAsia" w:ascii="宋体" w:hAnsi="宋体" w:cs="宋体"/>
                      <w:bCs/>
                      <w:sz w:val="20"/>
                      <w:szCs w:val="20"/>
                      <w:lang w:eastAsia="zh-CN"/>
                    </w:rPr>
                    <w:t>，</w:t>
                  </w:r>
                  <w:r>
                    <w:rPr>
                      <w:rFonts w:hint="eastAsia" w:ascii="宋体" w:hAnsi="宋体" w:cs="宋体"/>
                      <w:bCs/>
                      <w:sz w:val="20"/>
                      <w:szCs w:val="20"/>
                      <w:lang w:val="en-US" w:eastAsia="zh-CN"/>
                    </w:rPr>
                    <w:t>响应时间4小时内</w:t>
                  </w:r>
                  <w:r>
                    <w:rPr>
                      <w:rFonts w:hint="eastAsia" w:ascii="宋体" w:hAnsi="宋体" w:eastAsia="宋体" w:cs="宋体"/>
                      <w:bCs/>
                      <w:sz w:val="20"/>
                      <w:szCs w:val="20"/>
                    </w:rPr>
                    <w:t>。</w:t>
                  </w:r>
                </w:p>
                <w:p>
                  <w:pPr>
                    <w:numPr>
                      <w:ilvl w:val="0"/>
                      <w:numId w:val="0"/>
                    </w:numPr>
                    <w:rPr>
                      <w:rFonts w:hint="eastAsia" w:ascii="宋体" w:hAnsi="宋体" w:eastAsia="宋体" w:cs="宋体"/>
                      <w:bCs/>
                      <w:sz w:val="20"/>
                      <w:szCs w:val="20"/>
                    </w:rPr>
                  </w:pPr>
                  <w:r>
                    <w:rPr>
                      <w:rFonts w:hint="eastAsia" w:ascii="宋体" w:hAnsi="宋体" w:eastAsia="宋体" w:cs="宋体"/>
                      <w:bCs/>
                      <w:sz w:val="20"/>
                      <w:szCs w:val="20"/>
                    </w:rPr>
                    <w:t>P3级故障——不影响业务，产品功能或可维护性方面存在的不足，可通过优化配置、更换备件或升级软件等方法解决的故障</w:t>
                  </w:r>
                  <w:r>
                    <w:rPr>
                      <w:rFonts w:hint="eastAsia" w:ascii="宋体" w:hAnsi="宋体" w:cs="宋体"/>
                      <w:bCs/>
                      <w:sz w:val="20"/>
                      <w:szCs w:val="20"/>
                      <w:lang w:eastAsia="zh-CN"/>
                    </w:rPr>
                    <w:t>，</w:t>
                  </w:r>
                  <w:r>
                    <w:rPr>
                      <w:rFonts w:hint="eastAsia" w:ascii="宋体" w:hAnsi="宋体" w:cs="宋体"/>
                      <w:bCs/>
                      <w:sz w:val="20"/>
                      <w:szCs w:val="20"/>
                      <w:lang w:val="en-US" w:eastAsia="zh-CN"/>
                    </w:rPr>
                    <w:t>响应时间48小时内</w:t>
                  </w:r>
                  <w:r>
                    <w:rPr>
                      <w:rFonts w:hint="eastAsia" w:ascii="宋体" w:hAnsi="宋体" w:eastAsia="宋体" w:cs="宋体"/>
                      <w:bCs/>
                      <w:sz w:val="20"/>
                      <w:szCs w:val="20"/>
                    </w:rPr>
                    <w:t>。</w:t>
                  </w:r>
                </w:p>
                <w:p>
                  <w:pPr>
                    <w:numPr>
                      <w:ilvl w:val="0"/>
                      <w:numId w:val="0"/>
                    </w:numPr>
                    <w:rPr>
                      <w:rFonts w:ascii="宋体" w:hAnsi="宋体" w:eastAsia="宋体" w:cs="宋体"/>
                      <w:bCs/>
                      <w:sz w:val="20"/>
                      <w:szCs w:val="20"/>
                    </w:rPr>
                  </w:pPr>
                  <w:r>
                    <w:rPr>
                      <w:rFonts w:hint="eastAsia" w:ascii="宋体" w:hAnsi="宋体" w:eastAsia="宋体" w:cs="宋体"/>
                      <w:bCs/>
                      <w:sz w:val="20"/>
                      <w:szCs w:val="20"/>
                    </w:rPr>
                    <w:t>P4级故障——不涉及业务，咨询类问题，或影响业务的因素与存储产品无关联</w:t>
                  </w:r>
                  <w:r>
                    <w:rPr>
                      <w:rFonts w:hint="eastAsia" w:ascii="宋体" w:hAnsi="宋体" w:cs="宋体"/>
                      <w:bCs/>
                      <w:sz w:val="20"/>
                      <w:szCs w:val="20"/>
                      <w:lang w:eastAsia="zh-CN"/>
                    </w:rPr>
                    <w:t>，</w:t>
                  </w:r>
                  <w:r>
                    <w:rPr>
                      <w:rFonts w:hint="eastAsia" w:ascii="宋体" w:hAnsi="宋体" w:cs="宋体"/>
                      <w:bCs/>
                      <w:sz w:val="20"/>
                      <w:szCs w:val="20"/>
                      <w:lang w:val="en-US" w:eastAsia="zh-CN"/>
                    </w:rPr>
                    <w:t>响应时间96小时内</w:t>
                  </w:r>
                  <w:r>
                    <w:rPr>
                      <w:rFonts w:hint="eastAsia" w:ascii="宋体" w:hAnsi="宋体" w:eastAsia="宋体" w:cs="宋体"/>
                      <w:bCs/>
                      <w:sz w:val="20"/>
                      <w:szCs w:val="20"/>
                    </w:rPr>
                    <w:t>。</w:t>
                  </w:r>
                  <w:r>
                    <w:rPr>
                      <w:rFonts w:hint="eastAsia" w:ascii="宋体" w:hAnsi="宋体" w:cs="宋体"/>
                      <w:bCs/>
                      <w:sz w:val="20"/>
                      <w:szCs w:val="20"/>
                      <w:lang w:eastAsia="zh-CN"/>
                    </w:rPr>
                    <w:t>）</w:t>
                  </w:r>
                  <w:r>
                    <w:rPr>
                      <w:rFonts w:hint="eastAsia" w:ascii="宋体" w:hAnsi="宋体" w:eastAsia="宋体" w:cs="宋体"/>
                      <w:bCs/>
                      <w:sz w:val="20"/>
                      <w:szCs w:val="20"/>
                    </w:rPr>
                    <w:t>，然后根据故障现象划分故障的等级，帮助客户进行故障定位，并提出解决方案，最终指导客户排除设备故障；</w:t>
                  </w:r>
                </w:p>
                <w:p>
                  <w:pPr>
                    <w:numPr>
                      <w:ilvl w:val="0"/>
                      <w:numId w:val="1"/>
                    </w:numPr>
                    <w:rPr>
                      <w:rFonts w:ascii="宋体" w:hAnsi="宋体" w:eastAsia="宋体" w:cs="宋体"/>
                      <w:sz w:val="20"/>
                      <w:szCs w:val="20"/>
                    </w:rPr>
                  </w:pPr>
                  <w:r>
                    <w:rPr>
                      <w:rFonts w:hint="eastAsia" w:ascii="宋体" w:hAnsi="宋体" w:cs="宋体"/>
                      <w:bCs/>
                      <w:sz w:val="20"/>
                      <w:szCs w:val="20"/>
                      <w:lang w:val="en-US" w:eastAsia="zh-CN"/>
                    </w:rPr>
                    <w:t>提供</w:t>
                  </w:r>
                  <w:r>
                    <w:rPr>
                      <w:rFonts w:hint="eastAsia" w:ascii="宋体" w:hAnsi="宋体" w:eastAsia="宋体" w:cs="宋体"/>
                      <w:bCs/>
                      <w:sz w:val="20"/>
                      <w:szCs w:val="20"/>
                    </w:rPr>
                    <w:t>原厂备件支持服务，使用户在最短时间内得到备件更换服务，一旦定位是硬件故障，在规定时间内将更换件先行运抵现场，并安排服务工程师进行现场更换，使客户的业务能在最短时间内恢复正常；</w:t>
                  </w:r>
                </w:p>
                <w:p>
                  <w:pPr>
                    <w:numPr>
                      <w:ilvl w:val="0"/>
                      <w:numId w:val="1"/>
                    </w:numPr>
                    <w:rPr>
                      <w:rFonts w:ascii="宋体" w:hAnsi="宋体" w:eastAsia="宋体" w:cs="宋体"/>
                      <w:sz w:val="20"/>
                      <w:szCs w:val="20"/>
                    </w:rPr>
                  </w:pPr>
                  <w:r>
                    <w:rPr>
                      <w:rFonts w:hint="eastAsia" w:ascii="宋体" w:hAnsi="宋体" w:eastAsia="宋体" w:cs="宋体"/>
                      <w:bCs/>
                      <w:sz w:val="20"/>
                      <w:szCs w:val="20"/>
                    </w:rPr>
                    <w:t>享受远程技术支持服务，</w:t>
                  </w:r>
                  <w:r>
                    <w:rPr>
                      <w:rFonts w:hint="eastAsia" w:ascii="宋体" w:hAnsi="宋体" w:eastAsia="宋体" w:cs="宋体"/>
                      <w:sz w:val="20"/>
                      <w:szCs w:val="20"/>
                    </w:rPr>
                    <w:t>对于通过电话支持服务不能解决的故障或问题，在征得用户同意后，在协议约定的服务等级规定的响应时间内，通过远程终端登陆到用户申告问题的系统中进行调查和收集数据。根据已有故障信息，辅以远程技术处理，对故障按问题级别进行修复或规避，加速问题的解决；</w:t>
                  </w:r>
                </w:p>
                <w:p>
                  <w:pPr>
                    <w:ind w:firstLine="30" w:firstLineChars="15"/>
                    <w:rPr>
                      <w:rFonts w:ascii="宋体" w:hAnsi="宋体" w:eastAsia="宋体" w:cs="宋体"/>
                      <w:sz w:val="20"/>
                      <w:szCs w:val="20"/>
                      <w:lang w:bidi="ar"/>
                    </w:rPr>
                  </w:pPr>
                  <w:r>
                    <w:rPr>
                      <w:rFonts w:hint="eastAsia" w:ascii="宋体" w:hAnsi="宋体" w:eastAsia="宋体" w:cs="宋体"/>
                      <w:bCs/>
                      <w:sz w:val="20"/>
                      <w:szCs w:val="20"/>
                    </w:rPr>
                    <w:t>享受现场技术支持服务，作为享有现场支持服务的客户，当故障不能使用有效的远程支持方式进行解决时，将与当地供货商一起派遣工程师赶往客户现场，协助进行现场故障诊断及现场故障排除。</w:t>
                  </w:r>
                </w:p>
              </w:tc>
              <w:tc>
                <w:tcPr>
                  <w:tcW w:w="422"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lang w:bidi="ar"/>
                    </w:rPr>
                  </w:pPr>
                </w:p>
              </w:tc>
            </w:tr>
            <w:tr>
              <w:tblPrEx>
                <w:tblCellMar>
                  <w:top w:w="0" w:type="dxa"/>
                  <w:left w:w="0" w:type="dxa"/>
                  <w:bottom w:w="0" w:type="dxa"/>
                  <w:right w:w="0" w:type="dxa"/>
                </w:tblCellMar>
              </w:tblPrEx>
              <w:trPr>
                <w:trHeight w:val="378" w:hRule="atLeast"/>
              </w:trPr>
              <w:tc>
                <w:tcPr>
                  <w:tcW w:w="422"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lang w:bidi="ar"/>
                    </w:rPr>
                  </w:pPr>
                </w:p>
              </w:tc>
              <w:tc>
                <w:tcPr>
                  <w:tcW w:w="454" w:type="pct"/>
                  <w:vMerge w:val="restart"/>
                  <w:tcBorders>
                    <w:top w:val="single" w:color="000000" w:sz="8" w:space="0"/>
                    <w:left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lang w:bidi="ar"/>
                    </w:rPr>
                  </w:pPr>
                  <w:r>
                    <w:rPr>
                      <w:rFonts w:hint="eastAsia" w:ascii="宋体" w:hAnsi="宋体" w:eastAsia="宋体" w:cs="宋体"/>
                      <w:sz w:val="20"/>
                      <w:szCs w:val="20"/>
                      <w:lang w:bidi="ar"/>
                    </w:rPr>
                    <w:t>存储软件</w:t>
                  </w:r>
                </w:p>
              </w:tc>
              <w:tc>
                <w:tcPr>
                  <w:tcW w:w="369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lang w:bidi="ar"/>
                    </w:rPr>
                  </w:pPr>
                  <w:r>
                    <w:rPr>
                      <w:rFonts w:ascii="宋体" w:hAnsi="宋体" w:eastAsia="宋体" w:cs="宋体"/>
                      <w:bCs/>
                      <w:sz w:val="20"/>
                      <w:szCs w:val="20"/>
                    </w:rPr>
                    <w:t>3</w:t>
                  </w:r>
                  <w:r>
                    <w:rPr>
                      <w:rFonts w:hint="eastAsia" w:ascii="宋体" w:hAnsi="宋体" w:eastAsia="宋体" w:cs="宋体"/>
                      <w:bCs/>
                      <w:sz w:val="20"/>
                      <w:szCs w:val="20"/>
                    </w:rPr>
                    <w:t>、配置巡检机器人高级功能软件，自动巡检指定存储设备，并支持把巡检结果通过邮件发送给指定接收人，远程监控设备运行状态；</w:t>
                  </w:r>
                </w:p>
              </w:tc>
              <w:tc>
                <w:tcPr>
                  <w:tcW w:w="422"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lang w:bidi="ar"/>
                    </w:rPr>
                  </w:pPr>
                </w:p>
              </w:tc>
            </w:tr>
            <w:tr>
              <w:tblPrEx>
                <w:tblCellMar>
                  <w:top w:w="0" w:type="dxa"/>
                  <w:left w:w="0" w:type="dxa"/>
                  <w:bottom w:w="0" w:type="dxa"/>
                  <w:right w:w="0" w:type="dxa"/>
                </w:tblCellMar>
              </w:tblPrEx>
              <w:trPr>
                <w:trHeight w:val="378" w:hRule="atLeast"/>
              </w:trPr>
              <w:tc>
                <w:tcPr>
                  <w:tcW w:w="422" w:type="pct"/>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lang w:bidi="ar"/>
                    </w:rPr>
                  </w:pPr>
                </w:p>
              </w:tc>
              <w:tc>
                <w:tcPr>
                  <w:tcW w:w="454"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bCs/>
                      <w:sz w:val="20"/>
                      <w:szCs w:val="20"/>
                    </w:rPr>
                  </w:pPr>
                </w:p>
              </w:tc>
              <w:tc>
                <w:tcPr>
                  <w:tcW w:w="369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sz w:val="20"/>
                      <w:szCs w:val="20"/>
                      <w:lang w:bidi="ar"/>
                    </w:rPr>
                  </w:pPr>
                  <w:r>
                    <w:rPr>
                      <w:rFonts w:ascii="宋体" w:hAnsi="宋体" w:eastAsia="宋体" w:cs="宋体"/>
                      <w:sz w:val="20"/>
                      <w:szCs w:val="20"/>
                      <w:lang w:bidi="ar"/>
                    </w:rPr>
                    <w:t>4</w:t>
                  </w:r>
                  <w:r>
                    <w:rPr>
                      <w:rFonts w:hint="eastAsia" w:ascii="宋体" w:hAnsi="宋体" w:eastAsia="宋体" w:cs="宋体"/>
                      <w:sz w:val="20"/>
                      <w:szCs w:val="20"/>
                      <w:lang w:bidi="ar"/>
                    </w:rPr>
                    <w:t>、</w:t>
                  </w:r>
                  <w:r>
                    <w:rPr>
                      <w:rFonts w:hint="eastAsia" w:ascii="宋体" w:hAnsi="宋体" w:eastAsia="宋体" w:cs="宋体"/>
                      <w:bCs/>
                      <w:sz w:val="20"/>
                      <w:szCs w:val="20"/>
                    </w:rPr>
                    <w:t>配置高性能监控软件，要求可以实时监控CPU的利用率、磁盘繁忙程度、IOPS和吞吐量；</w:t>
                  </w:r>
                </w:p>
              </w:tc>
              <w:tc>
                <w:tcPr>
                  <w:tcW w:w="422" w:type="pct"/>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lang w:bidi="ar"/>
                    </w:rPr>
                  </w:pPr>
                </w:p>
              </w:tc>
            </w:tr>
            <w:tr>
              <w:tblPrEx>
                <w:tblCellMar>
                  <w:top w:w="0" w:type="dxa"/>
                  <w:left w:w="0" w:type="dxa"/>
                  <w:bottom w:w="0" w:type="dxa"/>
                  <w:right w:w="0" w:type="dxa"/>
                </w:tblCellMar>
              </w:tblPrEx>
              <w:trPr>
                <w:trHeight w:val="378" w:hRule="atLeast"/>
              </w:trPr>
              <w:tc>
                <w:tcPr>
                  <w:tcW w:w="422" w:type="pct"/>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lang w:bidi="ar"/>
                    </w:rPr>
                  </w:pPr>
                </w:p>
              </w:tc>
              <w:tc>
                <w:tcPr>
                  <w:tcW w:w="454" w:type="pct"/>
                  <w:vMerge w:val="continue"/>
                  <w:tcBorders>
                    <w:left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bCs/>
                      <w:sz w:val="20"/>
                      <w:szCs w:val="20"/>
                    </w:rPr>
                  </w:pPr>
                </w:p>
              </w:tc>
              <w:tc>
                <w:tcPr>
                  <w:tcW w:w="369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bCs/>
                      <w:sz w:val="20"/>
                      <w:szCs w:val="20"/>
                    </w:rPr>
                  </w:pPr>
                  <w:r>
                    <w:rPr>
                      <w:rFonts w:ascii="宋体" w:hAnsi="宋体" w:eastAsia="宋体" w:cs="宋体"/>
                      <w:sz w:val="20"/>
                      <w:szCs w:val="20"/>
                      <w:lang w:bidi="ar"/>
                    </w:rPr>
                    <w:t>5</w:t>
                  </w:r>
                  <w:r>
                    <w:rPr>
                      <w:rFonts w:hint="eastAsia" w:ascii="宋体" w:hAnsi="宋体" w:eastAsia="宋体" w:cs="宋体"/>
                      <w:sz w:val="20"/>
                      <w:szCs w:val="20"/>
                      <w:lang w:bidi="ar"/>
                    </w:rPr>
                    <w:t>、</w:t>
                  </w:r>
                  <w:r>
                    <w:rPr>
                      <w:rFonts w:hint="eastAsia" w:ascii="宋体" w:hAnsi="宋体" w:eastAsia="宋体" w:cs="宋体"/>
                      <w:bCs/>
                      <w:sz w:val="20"/>
                      <w:szCs w:val="20"/>
                    </w:rPr>
                    <w:t>配置中文图形化管理平台软件，配置日志告警、指示灯告警、控制台告警、蜂鸣器告警等功能；</w:t>
                  </w:r>
                </w:p>
              </w:tc>
              <w:tc>
                <w:tcPr>
                  <w:tcW w:w="422" w:type="pct"/>
                  <w:tcBorders>
                    <w:left w:val="single" w:color="000000" w:sz="8"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lang w:bidi="ar"/>
                    </w:rPr>
                  </w:pPr>
                </w:p>
              </w:tc>
            </w:tr>
            <w:tr>
              <w:tblPrEx>
                <w:tblCellMar>
                  <w:top w:w="0" w:type="dxa"/>
                  <w:left w:w="0" w:type="dxa"/>
                  <w:bottom w:w="0" w:type="dxa"/>
                  <w:right w:w="0" w:type="dxa"/>
                </w:tblCellMar>
              </w:tblPrEx>
              <w:trPr>
                <w:trHeight w:val="378" w:hRule="atLeast"/>
              </w:trPr>
              <w:tc>
                <w:tcPr>
                  <w:tcW w:w="422" w:type="pct"/>
                  <w:tcBorders>
                    <w:left w:val="single" w:color="000000" w:sz="8" w:space="0"/>
                    <w:bottom w:val="single" w:color="auto" w:sz="4"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sz w:val="20"/>
                      <w:szCs w:val="20"/>
                      <w:lang w:bidi="ar"/>
                    </w:rPr>
                  </w:pPr>
                </w:p>
              </w:tc>
              <w:tc>
                <w:tcPr>
                  <w:tcW w:w="454" w:type="pct"/>
                  <w:vMerge w:val="continue"/>
                  <w:tcBorders>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bCs/>
                      <w:sz w:val="20"/>
                      <w:szCs w:val="20"/>
                    </w:rPr>
                  </w:pPr>
                </w:p>
              </w:tc>
              <w:tc>
                <w:tcPr>
                  <w:tcW w:w="369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right w:w="108" w:type="dxa"/>
                  </w:tcMar>
                  <w:vAlign w:val="center"/>
                </w:tcPr>
                <w:p>
                  <w:pPr>
                    <w:ind w:firstLine="30" w:firstLineChars="15"/>
                    <w:rPr>
                      <w:rFonts w:ascii="宋体" w:hAnsi="宋体" w:eastAsia="宋体" w:cs="宋体"/>
                      <w:bCs/>
                      <w:sz w:val="20"/>
                      <w:szCs w:val="20"/>
                    </w:rPr>
                  </w:pPr>
                  <w:r>
                    <w:rPr>
                      <w:rFonts w:hint="eastAsia" w:ascii="宋体" w:hAnsi="宋体" w:cs="宋体"/>
                      <w:bCs/>
                      <w:sz w:val="20"/>
                      <w:szCs w:val="20"/>
                      <w:lang w:val="en-US" w:eastAsia="zh-CN"/>
                    </w:rPr>
                    <w:t>6</w:t>
                  </w:r>
                  <w:r>
                    <w:rPr>
                      <w:rFonts w:hint="eastAsia" w:ascii="宋体" w:hAnsi="宋体" w:eastAsia="宋体" w:cs="宋体"/>
                      <w:bCs/>
                      <w:sz w:val="20"/>
                      <w:szCs w:val="20"/>
                    </w:rPr>
                    <w:t>、存储设备支持网盘功能，网盘功能需满足如下要求：</w:t>
                  </w:r>
                </w:p>
                <w:p>
                  <w:pPr>
                    <w:ind w:firstLine="30" w:firstLineChars="15"/>
                    <w:rPr>
                      <w:rFonts w:ascii="宋体" w:hAnsi="宋体" w:eastAsia="宋体" w:cs="宋体"/>
                      <w:bCs/>
                      <w:sz w:val="20"/>
                      <w:szCs w:val="20"/>
                    </w:rPr>
                  </w:pPr>
                  <w:r>
                    <w:rPr>
                      <w:rFonts w:hint="eastAsia" w:ascii="宋体" w:hAnsi="宋体" w:eastAsia="宋体" w:cs="宋体"/>
                      <w:bCs/>
                      <w:sz w:val="20"/>
                      <w:szCs w:val="20"/>
                    </w:rPr>
                    <w:t>支持文件在线压缩、在线解压、多选文件夹压缩，可在线阅览压缩包中的文件，能够进行全文检索、离线下载（提供存储厂商网盘软件截图，加盖原厂章）。</w:t>
                  </w:r>
                </w:p>
              </w:tc>
              <w:tc>
                <w:tcPr>
                  <w:tcW w:w="422" w:type="pct"/>
                  <w:tcBorders>
                    <w:left w:val="single" w:color="000000" w:sz="8" w:space="0"/>
                    <w:bottom w:val="single" w:color="auto" w:sz="4" w:space="0"/>
                    <w:right w:val="single" w:color="000000" w:sz="8" w:space="0"/>
                  </w:tcBorders>
                  <w:shd w:val="clear" w:color="auto" w:fill="auto"/>
                  <w:tcMar>
                    <w:top w:w="15" w:type="dxa"/>
                    <w:left w:w="108" w:type="dxa"/>
                    <w:right w:w="108" w:type="dxa"/>
                  </w:tcMar>
                  <w:vAlign w:val="center"/>
                </w:tcPr>
                <w:p>
                  <w:pPr>
                    <w:jc w:val="center"/>
                    <w:rPr>
                      <w:rFonts w:ascii="宋体" w:hAnsi="宋体" w:eastAsia="宋体" w:cs="宋体"/>
                      <w:bCs/>
                      <w:kern w:val="0"/>
                      <w:sz w:val="20"/>
                      <w:szCs w:val="20"/>
                      <w:lang w:bidi="ar"/>
                    </w:rPr>
                  </w:pPr>
                </w:p>
              </w:tc>
            </w:tr>
          </w:tbl>
          <w:p>
            <w:pPr>
              <w:pStyle w:val="5"/>
              <w:jc w:val="both"/>
              <w:rPr>
                <w:rFonts w:eastAsia="宋体"/>
                <w:b w:val="0"/>
                <w:bCs w:val="0"/>
                <w:sz w:val="21"/>
              </w:rPr>
            </w:pPr>
          </w:p>
        </w:tc>
        <w:tc>
          <w:tcPr>
            <w:tcW w:w="667" w:type="dxa"/>
            <w:tcBorders>
              <w:bottom w:val="single" w:color="auto" w:sz="4" w:space="0"/>
              <w:right w:val="dotDotDash" w:color="auto" w:sz="18" w:space="0"/>
            </w:tcBorders>
            <w:vAlign w:val="center"/>
          </w:tcPr>
          <w:p>
            <w:pPr>
              <w:widowControl/>
              <w:jc w:val="center"/>
            </w:pPr>
            <w:r>
              <w:rPr>
                <w:rFonts w:hint="eastAsia"/>
              </w:rPr>
              <w:t>1</w:t>
            </w:r>
          </w:p>
        </w:tc>
        <w:tc>
          <w:tcPr>
            <w:tcW w:w="6710" w:type="dxa"/>
            <w:gridSpan w:val="3"/>
            <w:tcBorders>
              <w:top w:val="single" w:color="auto" w:sz="6" w:space="0"/>
              <w:left w:val="dotDotDash" w:color="auto" w:sz="18" w:space="0"/>
              <w:bottom w:val="single" w:color="auto" w:sz="4" w:space="0"/>
            </w:tcBorders>
            <w:vAlign w:val="center"/>
          </w:tcPr>
          <w:p>
            <w:pPr>
              <w:jc w:val="center"/>
              <w:rPr>
                <w:color w:val="000000"/>
                <w:sz w:val="24"/>
              </w:rPr>
            </w:pPr>
          </w:p>
        </w:tc>
        <w:tc>
          <w:tcPr>
            <w:tcW w:w="996" w:type="dxa"/>
            <w:tcBorders>
              <w:top w:val="single" w:color="auto" w:sz="6" w:space="0"/>
              <w:bottom w:val="single" w:color="auto" w:sz="4" w:space="0"/>
            </w:tcBorders>
            <w:vAlign w:val="center"/>
          </w:tcPr>
          <w:p>
            <w:pPr>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2"/>
          <w:wAfter w:w="32" w:type="dxa"/>
          <w:trHeight w:val="4519" w:hRule="atLeast"/>
          <w:jc w:val="center"/>
        </w:trPr>
        <w:tc>
          <w:tcPr>
            <w:tcW w:w="1539" w:type="dxa"/>
            <w:vMerge w:val="continue"/>
            <w:vAlign w:val="center"/>
          </w:tcPr>
          <w:p/>
        </w:tc>
        <w:tc>
          <w:tcPr>
            <w:tcW w:w="5150" w:type="dxa"/>
            <w:gridSpan w:val="3"/>
            <w:vMerge w:val="continue"/>
            <w:vAlign w:val="center"/>
          </w:tcPr>
          <w:p>
            <w:pPr>
              <w:jc w:val="center"/>
            </w:pPr>
          </w:p>
        </w:tc>
        <w:tc>
          <w:tcPr>
            <w:tcW w:w="667" w:type="dxa"/>
            <w:tcBorders>
              <w:bottom w:val="single" w:color="auto" w:sz="4" w:space="0"/>
              <w:right w:val="dotDotDash" w:color="auto" w:sz="18" w:space="0"/>
            </w:tcBorders>
            <w:vAlign w:val="center"/>
          </w:tcPr>
          <w:p>
            <w:pPr>
              <w:widowControl/>
              <w:jc w:val="center"/>
            </w:pPr>
          </w:p>
        </w:tc>
        <w:tc>
          <w:tcPr>
            <w:tcW w:w="6710" w:type="dxa"/>
            <w:gridSpan w:val="3"/>
            <w:tcBorders>
              <w:top w:val="single" w:color="auto" w:sz="6" w:space="0"/>
              <w:left w:val="dotDotDash" w:color="auto" w:sz="18" w:space="0"/>
              <w:bottom w:val="single" w:color="auto" w:sz="4" w:space="0"/>
            </w:tcBorders>
            <w:vAlign w:val="center"/>
          </w:tcPr>
          <w:p>
            <w:pPr>
              <w:jc w:val="center"/>
              <w:rPr>
                <w:color w:val="000000"/>
                <w:sz w:val="24"/>
              </w:rPr>
            </w:pPr>
          </w:p>
        </w:tc>
        <w:tc>
          <w:tcPr>
            <w:tcW w:w="996" w:type="dxa"/>
            <w:tcBorders>
              <w:top w:val="single" w:color="auto" w:sz="6" w:space="0"/>
              <w:bottom w:val="single" w:color="auto" w:sz="4" w:space="0"/>
            </w:tcBorders>
            <w:vAlign w:val="center"/>
          </w:tcPr>
          <w:p>
            <w:pPr>
              <w:jc w:val="center"/>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39" w:type="dxa"/>
            <w:vAlign w:val="center"/>
          </w:tcPr>
          <w:p>
            <w:pPr>
              <w:spacing w:line="500" w:lineRule="auto"/>
              <w:jc w:val="center"/>
              <w:rPr>
                <w:b/>
                <w:color w:val="000000"/>
                <w:sz w:val="24"/>
              </w:rPr>
            </w:pPr>
            <w:r>
              <w:rPr>
                <w:rFonts w:hint="eastAsia"/>
                <w:b/>
                <w:color w:val="000000"/>
                <w:sz w:val="24"/>
              </w:rPr>
              <w:t>备注</w:t>
            </w:r>
          </w:p>
        </w:tc>
        <w:tc>
          <w:tcPr>
            <w:tcW w:w="5817" w:type="dxa"/>
            <w:gridSpan w:val="4"/>
            <w:tcBorders>
              <w:right w:val="dotDotDash" w:color="auto" w:sz="18" w:space="0"/>
            </w:tcBorders>
            <w:vAlign w:val="center"/>
          </w:tcPr>
          <w:p>
            <w:r>
              <w:t>一</w:t>
            </w:r>
            <w:r>
              <w:rPr>
                <w:rFonts w:hint="eastAsia"/>
              </w:rPr>
              <w:t>、</w:t>
            </w:r>
            <w:r>
              <w:t>供应商资格要求</w:t>
            </w:r>
          </w:p>
          <w:p>
            <w:r>
              <w:t>1、符合《政府采购法》第二十二条规定的供应商；</w:t>
            </w:r>
          </w:p>
          <w:p>
            <w:r>
              <w:t>2</w:t>
            </w:r>
            <w:r>
              <w:rPr>
                <w:rFonts w:hint="eastAsia"/>
              </w:rPr>
              <w:t>、营业</w:t>
            </w:r>
            <w:r>
              <w:t>执照中</w:t>
            </w:r>
            <w:r>
              <w:rPr>
                <w:rFonts w:hint="eastAsia"/>
              </w:rPr>
              <w:t>有</w:t>
            </w:r>
            <w:r>
              <w:t>与本项目</w:t>
            </w:r>
            <w:r>
              <w:rPr>
                <w:rFonts w:hint="eastAsia"/>
              </w:rPr>
              <w:t>采购</w:t>
            </w:r>
            <w:r>
              <w:t>内容相关的经营</w:t>
            </w:r>
            <w:r>
              <w:rPr>
                <w:rFonts w:hint="eastAsia"/>
              </w:rPr>
              <w:t>范围。</w:t>
            </w:r>
          </w:p>
          <w:p>
            <w:r>
              <w:t>二</w:t>
            </w:r>
            <w:r>
              <w:rPr>
                <w:rFonts w:hint="eastAsia"/>
              </w:rPr>
              <w:t>、</w:t>
            </w:r>
            <w:r>
              <w:t>报价要求</w:t>
            </w:r>
          </w:p>
          <w:p>
            <w:r>
              <w:t>1、报价应包含</w:t>
            </w:r>
            <w:r>
              <w:rPr>
                <w:rFonts w:hint="eastAsia"/>
              </w:rPr>
              <w:t>为人工、税费、等完成本项目所发生的所有费用；</w:t>
            </w:r>
          </w:p>
          <w:p>
            <w:r>
              <w:rPr>
                <w:rFonts w:hint="eastAsia"/>
              </w:rPr>
              <w:t>2</w:t>
            </w:r>
            <w:r>
              <w:t>、</w:t>
            </w:r>
            <w:r>
              <w:rPr>
                <w:rFonts w:hint="eastAsia"/>
              </w:rPr>
              <w:t>服务地点：无锡职业技术学院内指定地点；</w:t>
            </w:r>
            <w:r>
              <w:rPr>
                <w:rFonts w:hint="eastAsia"/>
              </w:rPr>
              <w:br w:type="textWrapping"/>
            </w:r>
            <w:r>
              <w:rPr>
                <w:rFonts w:hint="eastAsia"/>
                <w:lang w:val="en-US" w:eastAsia="zh-CN"/>
              </w:rPr>
              <w:t>3</w:t>
            </w:r>
            <w:r>
              <w:rPr>
                <w:rFonts w:hint="eastAsia"/>
              </w:rPr>
              <w:t>、货到经校方验收合格后，每个</w:t>
            </w:r>
            <w:r>
              <w:rPr>
                <w:rFonts w:hint="eastAsia"/>
                <w:lang w:val="en-US" w:eastAsia="zh-CN"/>
              </w:rPr>
              <w:t>年</w:t>
            </w:r>
            <w:r>
              <w:rPr>
                <w:rFonts w:hint="eastAsia"/>
              </w:rPr>
              <w:t>度</w:t>
            </w:r>
            <w:r>
              <w:t>支付合同总金额的</w:t>
            </w:r>
            <w:r>
              <w:rPr>
                <w:rFonts w:hint="eastAsia"/>
                <w:lang w:val="en-US" w:eastAsia="zh-CN"/>
              </w:rPr>
              <w:t>50</w:t>
            </w:r>
            <w:r>
              <w:rPr>
                <w:rFonts w:hint="eastAsia"/>
              </w:rPr>
              <w:t>%，直至1</w:t>
            </w:r>
            <w:r>
              <w:t>00%.；</w:t>
            </w:r>
          </w:p>
          <w:p>
            <w:pPr>
              <w:rPr>
                <w:rFonts w:hint="eastAsia"/>
              </w:rPr>
            </w:pPr>
            <w:r>
              <w:rPr>
                <w:rFonts w:hint="eastAsia"/>
                <w:lang w:val="en-US" w:eastAsia="zh-CN"/>
              </w:rPr>
              <w:t>4</w:t>
            </w:r>
            <w:r>
              <w:rPr>
                <w:rFonts w:hint="eastAsia"/>
              </w:rPr>
              <w:t>、本项目最高限价为9.6万</w:t>
            </w:r>
            <w:r>
              <w:rPr>
                <w:rFonts w:hint="eastAsia"/>
                <w:color w:val="FF0000"/>
              </w:rPr>
              <w:t>元</w:t>
            </w:r>
            <w:r>
              <w:rPr>
                <w:rFonts w:hint="eastAsia"/>
              </w:rPr>
              <w:t>，报价超过最高限价为无效报价；</w:t>
            </w:r>
          </w:p>
          <w:p>
            <w:pPr>
              <w:pStyle w:val="2"/>
              <w:ind w:left="0" w:leftChars="0" w:firstLine="0" w:firstLineChars="0"/>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5、服务期限：2年</w:t>
            </w:r>
          </w:p>
          <w:p>
            <w:pPr>
              <w:rPr>
                <w:rFonts w:hint="eastAsia"/>
                <w:color w:val="FF0000"/>
                <w:lang w:val="en-US" w:eastAsia="zh-CN"/>
              </w:rPr>
            </w:pPr>
            <w:bookmarkStart w:id="0" w:name="_GoBack"/>
            <w:bookmarkEnd w:id="0"/>
            <w:r>
              <w:rPr>
                <w:rFonts w:hint="eastAsia"/>
                <w:lang w:val="en-US" w:eastAsia="zh-CN"/>
              </w:rPr>
              <w:t>6</w:t>
            </w:r>
            <w:r>
              <w:t>、</w:t>
            </w:r>
            <w:r>
              <w:rPr>
                <w:rFonts w:hint="eastAsia"/>
              </w:rPr>
              <w:t>报价文件中除报价资料外还应包含以下资料（</w:t>
            </w:r>
            <w:r>
              <w:rPr>
                <w:rFonts w:hint="eastAsia"/>
                <w:color w:val="FF0000"/>
              </w:rPr>
              <w:t>均需加盖公章</w:t>
            </w:r>
            <w:r>
              <w:rPr>
                <w:rFonts w:hint="eastAsia"/>
              </w:rPr>
              <w:t>）：（1）</w:t>
            </w:r>
            <w:r>
              <w:t>营业执照复印件</w:t>
            </w:r>
            <w:r>
              <w:rPr>
                <w:rFonts w:hint="eastAsia"/>
              </w:rPr>
              <w:t>（加盖公章），（2）</w:t>
            </w:r>
            <w:r>
              <w:t>法定代表人身份证复印件</w:t>
            </w:r>
            <w:r>
              <w:rPr>
                <w:rFonts w:hint="eastAsia"/>
              </w:rPr>
              <w:t>，（3）</w:t>
            </w:r>
            <w:r>
              <w:t>授权代表还需提供法人授权委托书原件</w:t>
            </w:r>
            <w:r>
              <w:rPr>
                <w:rFonts w:hint="eastAsia"/>
              </w:rPr>
              <w:t>，（4）</w:t>
            </w:r>
            <w:r>
              <w:t>授权代表身份证复印件</w:t>
            </w:r>
            <w:r>
              <w:rPr>
                <w:rFonts w:hint="eastAsia"/>
              </w:rPr>
              <w:t>。</w:t>
            </w:r>
            <w:r>
              <w:rPr>
                <w:rFonts w:hint="eastAsia"/>
                <w:lang w:val="en-US" w:eastAsia="zh-CN"/>
              </w:rPr>
              <w:t>(5)</w:t>
            </w:r>
            <w:r>
              <w:rPr>
                <w:rFonts w:hint="eastAsia" w:ascii="宋体" w:hAnsi="宋体" w:eastAsia="宋体" w:cs="宋体"/>
                <w:b/>
                <w:bCs/>
                <w:color w:val="FF0000"/>
                <w:sz w:val="20"/>
                <w:szCs w:val="20"/>
                <w:lang w:bidi="ar"/>
              </w:rPr>
              <w:t>原厂商质保承诺函，加盖原厂商章</w:t>
            </w:r>
          </w:p>
          <w:p>
            <w:r>
              <w:rPr>
                <w:rFonts w:hint="eastAsia"/>
                <w:lang w:val="en-US" w:eastAsia="zh-CN"/>
              </w:rPr>
              <w:t>7</w:t>
            </w:r>
            <w:r>
              <w:rPr>
                <w:rFonts w:hint="eastAsia"/>
              </w:rPr>
              <w:t>、报价文件制作</w:t>
            </w:r>
            <w:r>
              <w:rPr>
                <w:rFonts w:hint="eastAsia"/>
                <w:color w:val="FF0000"/>
              </w:rPr>
              <w:t>二份</w:t>
            </w:r>
            <w:r>
              <w:rPr>
                <w:rFonts w:hint="eastAsia"/>
              </w:rPr>
              <w:t>，要求密封，外部注明询价公告号及公司名称</w:t>
            </w:r>
            <w:r>
              <w:rPr>
                <w:rFonts w:hint="eastAsia"/>
                <w:b/>
                <w:bCs/>
              </w:rPr>
              <w:t>；</w:t>
            </w:r>
          </w:p>
          <w:p>
            <w:r>
              <w:rPr>
                <w:rFonts w:hint="eastAsia"/>
              </w:rPr>
              <w:t>三、确定成交单位</w:t>
            </w:r>
          </w:p>
          <w:p>
            <w:pPr>
              <w:autoSpaceDE w:val="0"/>
              <w:autoSpaceDN w:val="0"/>
              <w:adjustRightInd w:val="0"/>
              <w:rPr>
                <w:rFonts w:hint="eastAsia"/>
              </w:rPr>
            </w:pPr>
            <w:r>
              <w:rPr>
                <w:rFonts w:hint="eastAsia"/>
              </w:rPr>
              <w:t>1、报价文件请授权代表签字并加盖单位公章后于2023年7月</w:t>
            </w:r>
            <w:r>
              <w:rPr>
                <w:rFonts w:hint="eastAsia"/>
                <w:color w:val="FF0000"/>
                <w:lang w:val="en-US" w:eastAsia="zh-CN"/>
              </w:rPr>
              <w:t>18</w:t>
            </w:r>
            <w:r>
              <w:rPr>
                <w:rFonts w:hint="eastAsia"/>
              </w:rPr>
              <w:t>日8:30前密封寄送至无锡市高浪西路1600号无锡职业技术学院报价文件采用寄送方式（到付拒收），报价人应充分考虑邮件在途时间，保证报价文件能够在截止时间之前送达学校。寄出报价文件时务必短信联李老师</w:t>
            </w:r>
            <w:r>
              <w:rPr>
                <w:rFonts w:hint="eastAsia"/>
                <w:lang w:val="en-US" w:eastAsia="zh-CN"/>
              </w:rPr>
              <w:t>13961748325</w:t>
            </w:r>
            <w:r>
              <w:rPr>
                <w:rFonts w:hint="eastAsia"/>
              </w:rPr>
              <w:t xml:space="preserve"> 告知邮件单号。</w:t>
            </w:r>
          </w:p>
          <w:p>
            <w:pPr>
              <w:autoSpaceDE w:val="0"/>
              <w:autoSpaceDN w:val="0"/>
              <w:adjustRightInd w:val="0"/>
            </w:pPr>
            <w:r>
              <w:t>2</w:t>
            </w:r>
            <w:r>
              <w:rPr>
                <w:rFonts w:hint="eastAsia"/>
              </w:rPr>
              <w:t>、学校组织3人及以上单数询价小组，对报价文件进行资格性及符合性检查，通过资格性及符合性检查的单位报价文件，由询价小组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，并当场宣布结果。</w:t>
            </w:r>
          </w:p>
        </w:tc>
        <w:tc>
          <w:tcPr>
            <w:tcW w:w="7738"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p>
            <w:pPr>
              <w:pStyle w:val="5"/>
            </w:pPr>
          </w:p>
          <w:p>
            <w:pPr>
              <w:pStyle w:val="5"/>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39"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5817" w:type="dxa"/>
            <w:gridSpan w:val="4"/>
            <w:tcBorders>
              <w:bottom w:val="double" w:color="auto" w:sz="4" w:space="0"/>
              <w:right w:val="dotDotDash" w:color="auto" w:sz="18" w:space="0"/>
            </w:tcBorders>
            <w:vAlign w:val="center"/>
          </w:tcPr>
          <w:p>
            <w:pPr>
              <w:jc w:val="left"/>
            </w:pPr>
            <w:r>
              <w:rPr>
                <w:rFonts w:hint="eastAsia"/>
              </w:rPr>
              <w:t>评审时间：202</w:t>
            </w:r>
            <w:r>
              <w:t>3</w:t>
            </w:r>
            <w:r>
              <w:rPr>
                <w:rFonts w:hint="eastAsia"/>
              </w:rPr>
              <w:t>年</w:t>
            </w:r>
            <w:r>
              <w:rPr>
                <w:color w:val="FF0000"/>
              </w:rPr>
              <w:t>7</w:t>
            </w:r>
            <w:r>
              <w:rPr>
                <w:rFonts w:hint="eastAsia"/>
                <w:color w:val="FF0000"/>
              </w:rPr>
              <w:t>月</w:t>
            </w:r>
            <w:r>
              <w:rPr>
                <w:rFonts w:hint="eastAsia"/>
                <w:color w:val="FF0000"/>
                <w:lang w:val="en-US" w:eastAsia="zh-CN"/>
              </w:rPr>
              <w:t>18</w:t>
            </w:r>
            <w:r>
              <w:rPr>
                <w:rFonts w:hint="eastAsia"/>
                <w:color w:val="FF0000"/>
              </w:rPr>
              <w:t>日</w:t>
            </w:r>
            <w:r>
              <w:rPr>
                <w:rFonts w:hint="eastAsia"/>
                <w:lang w:val="en-US" w:eastAsia="zh-CN"/>
              </w:rPr>
              <w:t>9</w:t>
            </w:r>
            <w:r>
              <w:t>:</w:t>
            </w:r>
            <w:r>
              <w:rPr>
                <w:rFonts w:hint="eastAsia"/>
              </w:rPr>
              <w:t>00</w:t>
            </w:r>
          </w:p>
          <w:p>
            <w:pPr>
              <w:pStyle w:val="5"/>
              <w:jc w:val="both"/>
              <w:rPr>
                <w:rFonts w:hint="default" w:eastAsia="宋体"/>
                <w:lang w:val="en-US" w:eastAsia="zh-CN"/>
              </w:rPr>
            </w:pPr>
            <w:r>
              <w:rPr>
                <w:rFonts w:hint="eastAsia" w:eastAsia="宋体"/>
                <w:b w:val="0"/>
                <w:bCs w:val="0"/>
                <w:sz w:val="21"/>
              </w:rPr>
              <w:t>评审地点：无锡职业技术学院</w:t>
            </w:r>
            <w:r>
              <w:rPr>
                <w:rFonts w:hint="eastAsia" w:eastAsia="宋体"/>
                <w:b w:val="0"/>
                <w:bCs w:val="0"/>
                <w:sz w:val="21"/>
                <w:lang w:val="en-US" w:eastAsia="zh-CN"/>
              </w:rPr>
              <w:t>综合楼912</w:t>
            </w:r>
          </w:p>
        </w:tc>
        <w:tc>
          <w:tcPr>
            <w:tcW w:w="2883"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4855" w:type="dxa"/>
            <w:gridSpan w:val="4"/>
            <w:tcBorders>
              <w:top w:val="single" w:color="auto" w:sz="6" w:space="0"/>
              <w:bottom w:val="double" w:color="auto" w:sz="4" w:space="0"/>
            </w:tcBorders>
          </w:tcPr>
          <w:p>
            <w:pPr>
              <w:jc w:val="left"/>
              <w:rPr>
                <w:color w:val="000000"/>
                <w:sz w:val="24"/>
              </w:rPr>
            </w:pPr>
            <w:r>
              <w:rPr>
                <w:rFonts w:hint="eastAsia"/>
                <w:color w:val="000000"/>
                <w:sz w:val="24"/>
              </w:rPr>
              <w:t>　</w:t>
            </w:r>
          </w:p>
          <w:p>
            <w:pPr>
              <w:ind w:firstLine="240" w:firstLineChars="100"/>
              <w:jc w:val="left"/>
              <w:rPr>
                <w:color w:val="000000"/>
                <w:sz w:val="24"/>
              </w:rPr>
            </w:pPr>
            <w:r>
              <w:rPr>
                <w:rFonts w:hint="eastAsia"/>
                <w:color w:val="000000"/>
                <w:sz w:val="24"/>
              </w:rPr>
              <w:t>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356"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7738"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tabs>
          <w:tab w:val="left" w:pos="3664"/>
        </w:tabs>
        <w:jc w:val="left"/>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570F1"/>
    <w:multiLevelType w:val="singleLevel"/>
    <w:tmpl w:val="DE3570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NGY2YWRiNTQ3YTU2ZjI1Yzk0NmM4NTRmZjAzNWYifQ=="/>
  </w:docVars>
  <w:rsids>
    <w:rsidRoot w:val="0013120D"/>
    <w:rsid w:val="00001AAC"/>
    <w:rsid w:val="00007815"/>
    <w:rsid w:val="00025A23"/>
    <w:rsid w:val="000278B6"/>
    <w:rsid w:val="0004363F"/>
    <w:rsid w:val="00064B78"/>
    <w:rsid w:val="000755FD"/>
    <w:rsid w:val="000855D6"/>
    <w:rsid w:val="00086E7A"/>
    <w:rsid w:val="000A231A"/>
    <w:rsid w:val="000B11DB"/>
    <w:rsid w:val="000B2C08"/>
    <w:rsid w:val="000B2C8A"/>
    <w:rsid w:val="000D56F9"/>
    <w:rsid w:val="000F4025"/>
    <w:rsid w:val="0011325D"/>
    <w:rsid w:val="0012002B"/>
    <w:rsid w:val="00120177"/>
    <w:rsid w:val="0012099C"/>
    <w:rsid w:val="00124526"/>
    <w:rsid w:val="001247B2"/>
    <w:rsid w:val="0013120D"/>
    <w:rsid w:val="00131E01"/>
    <w:rsid w:val="00163510"/>
    <w:rsid w:val="0016378E"/>
    <w:rsid w:val="00181010"/>
    <w:rsid w:val="00181C73"/>
    <w:rsid w:val="001A6FE1"/>
    <w:rsid w:val="001B2A31"/>
    <w:rsid w:val="001D5E4E"/>
    <w:rsid w:val="00201CE9"/>
    <w:rsid w:val="002159BD"/>
    <w:rsid w:val="00233DE8"/>
    <w:rsid w:val="002471DE"/>
    <w:rsid w:val="00275A33"/>
    <w:rsid w:val="00291ACA"/>
    <w:rsid w:val="00293049"/>
    <w:rsid w:val="002A0F00"/>
    <w:rsid w:val="002A570B"/>
    <w:rsid w:val="002B7785"/>
    <w:rsid w:val="002C1722"/>
    <w:rsid w:val="002C52C5"/>
    <w:rsid w:val="002C6695"/>
    <w:rsid w:val="002D5537"/>
    <w:rsid w:val="002E3700"/>
    <w:rsid w:val="002E6567"/>
    <w:rsid w:val="002E7B29"/>
    <w:rsid w:val="0030660F"/>
    <w:rsid w:val="00313356"/>
    <w:rsid w:val="0031407C"/>
    <w:rsid w:val="00317434"/>
    <w:rsid w:val="00320F04"/>
    <w:rsid w:val="00332899"/>
    <w:rsid w:val="003A01A8"/>
    <w:rsid w:val="003A238B"/>
    <w:rsid w:val="003A5569"/>
    <w:rsid w:val="003A7769"/>
    <w:rsid w:val="003B62AD"/>
    <w:rsid w:val="003C01AA"/>
    <w:rsid w:val="003C6C43"/>
    <w:rsid w:val="003E4E55"/>
    <w:rsid w:val="00400D09"/>
    <w:rsid w:val="00406161"/>
    <w:rsid w:val="004147F2"/>
    <w:rsid w:val="00415C06"/>
    <w:rsid w:val="00420EA3"/>
    <w:rsid w:val="00426BB5"/>
    <w:rsid w:val="00430B63"/>
    <w:rsid w:val="00437123"/>
    <w:rsid w:val="00441E65"/>
    <w:rsid w:val="00442BC4"/>
    <w:rsid w:val="004436D8"/>
    <w:rsid w:val="00452464"/>
    <w:rsid w:val="00454225"/>
    <w:rsid w:val="004606AA"/>
    <w:rsid w:val="0046635E"/>
    <w:rsid w:val="00466659"/>
    <w:rsid w:val="00483533"/>
    <w:rsid w:val="00493A60"/>
    <w:rsid w:val="004C1EE8"/>
    <w:rsid w:val="004D0FCE"/>
    <w:rsid w:val="004D6F5F"/>
    <w:rsid w:val="004E275A"/>
    <w:rsid w:val="004E6DD7"/>
    <w:rsid w:val="004F648D"/>
    <w:rsid w:val="004F73F4"/>
    <w:rsid w:val="005105FD"/>
    <w:rsid w:val="0052310B"/>
    <w:rsid w:val="005971D8"/>
    <w:rsid w:val="00597766"/>
    <w:rsid w:val="005E1CD2"/>
    <w:rsid w:val="005F57A1"/>
    <w:rsid w:val="006042AF"/>
    <w:rsid w:val="00625FF5"/>
    <w:rsid w:val="00630A89"/>
    <w:rsid w:val="0064032E"/>
    <w:rsid w:val="00644FD0"/>
    <w:rsid w:val="006528C5"/>
    <w:rsid w:val="00657876"/>
    <w:rsid w:val="00664D04"/>
    <w:rsid w:val="006705D0"/>
    <w:rsid w:val="00674669"/>
    <w:rsid w:val="00683F7E"/>
    <w:rsid w:val="006C0C08"/>
    <w:rsid w:val="006C4B6A"/>
    <w:rsid w:val="006C5ACE"/>
    <w:rsid w:val="006E6734"/>
    <w:rsid w:val="006F4356"/>
    <w:rsid w:val="00713347"/>
    <w:rsid w:val="00721770"/>
    <w:rsid w:val="00734A91"/>
    <w:rsid w:val="00735B08"/>
    <w:rsid w:val="007509DC"/>
    <w:rsid w:val="0079472E"/>
    <w:rsid w:val="00795CD4"/>
    <w:rsid w:val="00796306"/>
    <w:rsid w:val="007A545E"/>
    <w:rsid w:val="007A6E0D"/>
    <w:rsid w:val="007B0166"/>
    <w:rsid w:val="007B752D"/>
    <w:rsid w:val="007D0A43"/>
    <w:rsid w:val="007E7E5B"/>
    <w:rsid w:val="008046AA"/>
    <w:rsid w:val="0081218E"/>
    <w:rsid w:val="008163A8"/>
    <w:rsid w:val="008206C2"/>
    <w:rsid w:val="00852D55"/>
    <w:rsid w:val="008675C5"/>
    <w:rsid w:val="00871481"/>
    <w:rsid w:val="00871F61"/>
    <w:rsid w:val="008730E8"/>
    <w:rsid w:val="0089171C"/>
    <w:rsid w:val="008A1F84"/>
    <w:rsid w:val="008A450F"/>
    <w:rsid w:val="008E513F"/>
    <w:rsid w:val="008F29D4"/>
    <w:rsid w:val="00916FA0"/>
    <w:rsid w:val="00937023"/>
    <w:rsid w:val="00942B28"/>
    <w:rsid w:val="00955B0C"/>
    <w:rsid w:val="0095639E"/>
    <w:rsid w:val="00961D02"/>
    <w:rsid w:val="009669DE"/>
    <w:rsid w:val="0097034C"/>
    <w:rsid w:val="00974A4D"/>
    <w:rsid w:val="00985A47"/>
    <w:rsid w:val="009D612B"/>
    <w:rsid w:val="009E5FEC"/>
    <w:rsid w:val="009F096D"/>
    <w:rsid w:val="00A13365"/>
    <w:rsid w:val="00A1375B"/>
    <w:rsid w:val="00A237AA"/>
    <w:rsid w:val="00A32A09"/>
    <w:rsid w:val="00A40B4C"/>
    <w:rsid w:val="00A62995"/>
    <w:rsid w:val="00A62AE9"/>
    <w:rsid w:val="00A76FD7"/>
    <w:rsid w:val="00A85BB5"/>
    <w:rsid w:val="00AA1CD9"/>
    <w:rsid w:val="00AA5B9A"/>
    <w:rsid w:val="00AA7C52"/>
    <w:rsid w:val="00AC2D1D"/>
    <w:rsid w:val="00AD58A9"/>
    <w:rsid w:val="00AF0A93"/>
    <w:rsid w:val="00B0317F"/>
    <w:rsid w:val="00B0633F"/>
    <w:rsid w:val="00B16A0B"/>
    <w:rsid w:val="00B26A41"/>
    <w:rsid w:val="00B43441"/>
    <w:rsid w:val="00B62FFA"/>
    <w:rsid w:val="00B70C5B"/>
    <w:rsid w:val="00B73AA4"/>
    <w:rsid w:val="00B74502"/>
    <w:rsid w:val="00B7602A"/>
    <w:rsid w:val="00B84DB2"/>
    <w:rsid w:val="00BB2CB1"/>
    <w:rsid w:val="00BB4333"/>
    <w:rsid w:val="00BC330A"/>
    <w:rsid w:val="00BC56FA"/>
    <w:rsid w:val="00BC5E1E"/>
    <w:rsid w:val="00BD5B51"/>
    <w:rsid w:val="00C0403C"/>
    <w:rsid w:val="00C1333D"/>
    <w:rsid w:val="00C43695"/>
    <w:rsid w:val="00C43D73"/>
    <w:rsid w:val="00C531F6"/>
    <w:rsid w:val="00C5440E"/>
    <w:rsid w:val="00C66CF4"/>
    <w:rsid w:val="00C700AB"/>
    <w:rsid w:val="00C831CA"/>
    <w:rsid w:val="00C875B4"/>
    <w:rsid w:val="00CA0D00"/>
    <w:rsid w:val="00CA1F98"/>
    <w:rsid w:val="00CA4131"/>
    <w:rsid w:val="00CA4B39"/>
    <w:rsid w:val="00CB17C4"/>
    <w:rsid w:val="00CC68C9"/>
    <w:rsid w:val="00CD3FF4"/>
    <w:rsid w:val="00CE2C29"/>
    <w:rsid w:val="00CE784A"/>
    <w:rsid w:val="00CF7582"/>
    <w:rsid w:val="00D164D1"/>
    <w:rsid w:val="00D53C82"/>
    <w:rsid w:val="00D83A21"/>
    <w:rsid w:val="00DB082C"/>
    <w:rsid w:val="00DB3FF0"/>
    <w:rsid w:val="00E21B17"/>
    <w:rsid w:val="00E3494B"/>
    <w:rsid w:val="00E34AE7"/>
    <w:rsid w:val="00E47253"/>
    <w:rsid w:val="00E53440"/>
    <w:rsid w:val="00E541F2"/>
    <w:rsid w:val="00E6096C"/>
    <w:rsid w:val="00E60D23"/>
    <w:rsid w:val="00E71682"/>
    <w:rsid w:val="00E7266D"/>
    <w:rsid w:val="00E82D8F"/>
    <w:rsid w:val="00E91101"/>
    <w:rsid w:val="00E927DB"/>
    <w:rsid w:val="00E92E24"/>
    <w:rsid w:val="00E94067"/>
    <w:rsid w:val="00EA3B54"/>
    <w:rsid w:val="00EB1502"/>
    <w:rsid w:val="00ED088E"/>
    <w:rsid w:val="00EF13EB"/>
    <w:rsid w:val="00EF3B8D"/>
    <w:rsid w:val="00F00DE5"/>
    <w:rsid w:val="00F1714A"/>
    <w:rsid w:val="00F30092"/>
    <w:rsid w:val="00F34B06"/>
    <w:rsid w:val="00F4246B"/>
    <w:rsid w:val="00F63ACA"/>
    <w:rsid w:val="00F865DF"/>
    <w:rsid w:val="00FB42BC"/>
    <w:rsid w:val="00FC241C"/>
    <w:rsid w:val="00FC2955"/>
    <w:rsid w:val="00FD0B08"/>
    <w:rsid w:val="00FE0D74"/>
    <w:rsid w:val="00FF0D67"/>
    <w:rsid w:val="01A87105"/>
    <w:rsid w:val="03D75C47"/>
    <w:rsid w:val="04721101"/>
    <w:rsid w:val="071615F8"/>
    <w:rsid w:val="0A5B60D2"/>
    <w:rsid w:val="0D075AA7"/>
    <w:rsid w:val="0D1234CC"/>
    <w:rsid w:val="0D2C4773"/>
    <w:rsid w:val="0DA42347"/>
    <w:rsid w:val="0F501F02"/>
    <w:rsid w:val="11B14F05"/>
    <w:rsid w:val="149D2F01"/>
    <w:rsid w:val="17626FA1"/>
    <w:rsid w:val="179360B0"/>
    <w:rsid w:val="18505401"/>
    <w:rsid w:val="186026A8"/>
    <w:rsid w:val="1CB25D62"/>
    <w:rsid w:val="1CD87093"/>
    <w:rsid w:val="1DE15EA2"/>
    <w:rsid w:val="201104DA"/>
    <w:rsid w:val="248F6BD1"/>
    <w:rsid w:val="25344965"/>
    <w:rsid w:val="25A62424"/>
    <w:rsid w:val="25D725DE"/>
    <w:rsid w:val="2CF56940"/>
    <w:rsid w:val="2E65560C"/>
    <w:rsid w:val="3288644E"/>
    <w:rsid w:val="33C0289B"/>
    <w:rsid w:val="399B0364"/>
    <w:rsid w:val="3B395C09"/>
    <w:rsid w:val="3DE33418"/>
    <w:rsid w:val="3FAE7E03"/>
    <w:rsid w:val="406516B3"/>
    <w:rsid w:val="41A4095E"/>
    <w:rsid w:val="4268588E"/>
    <w:rsid w:val="42A75502"/>
    <w:rsid w:val="447C5279"/>
    <w:rsid w:val="454F0AA7"/>
    <w:rsid w:val="45830D0E"/>
    <w:rsid w:val="4E356F41"/>
    <w:rsid w:val="516721B8"/>
    <w:rsid w:val="518812DB"/>
    <w:rsid w:val="53A223B3"/>
    <w:rsid w:val="54E737B3"/>
    <w:rsid w:val="55541374"/>
    <w:rsid w:val="56B72407"/>
    <w:rsid w:val="57D82E00"/>
    <w:rsid w:val="581E7394"/>
    <w:rsid w:val="59845403"/>
    <w:rsid w:val="5AB93C88"/>
    <w:rsid w:val="5B60545F"/>
    <w:rsid w:val="5D7C30DE"/>
    <w:rsid w:val="5EDD1ADD"/>
    <w:rsid w:val="5F135A16"/>
    <w:rsid w:val="612C626E"/>
    <w:rsid w:val="62935B38"/>
    <w:rsid w:val="66AC2354"/>
    <w:rsid w:val="67567466"/>
    <w:rsid w:val="677A0472"/>
    <w:rsid w:val="6BFB681C"/>
    <w:rsid w:val="6C7B3A05"/>
    <w:rsid w:val="6D834E8B"/>
    <w:rsid w:val="71CD2507"/>
    <w:rsid w:val="72E2393D"/>
    <w:rsid w:val="73536D43"/>
    <w:rsid w:val="74B168E6"/>
    <w:rsid w:val="763F0980"/>
    <w:rsid w:val="76764174"/>
    <w:rsid w:val="76901705"/>
    <w:rsid w:val="76EC70A4"/>
    <w:rsid w:val="77434EF4"/>
    <w:rsid w:val="7B6D02EA"/>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4"/>
    <w:basedOn w:val="1"/>
    <w:next w:val="1"/>
    <w:qFormat/>
    <w:uiPriority w:val="0"/>
    <w:pPr>
      <w:keepNext/>
      <w:jc w:val="center"/>
      <w:outlineLvl w:val="3"/>
    </w:pPr>
    <w:rPr>
      <w:rFonts w:eastAsia="楷体_GB2312"/>
      <w:b/>
      <w:bCs/>
      <w:sz w:val="13"/>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next w:val="4"/>
    <w:semiHidden/>
    <w:qFormat/>
    <w:uiPriority w:val="0"/>
    <w:pPr>
      <w:ind w:firstLine="420" w:firstLineChars="200"/>
    </w:pPr>
    <w:rPr>
      <w:rFonts w:ascii="华文新魏" w:hAnsi="宋体" w:eastAsia="华文新魏"/>
      <w:color w:val="000000"/>
    </w:rPr>
  </w:style>
  <w:style w:type="paragraph" w:styleId="4">
    <w:name w:val="envelope return"/>
    <w:basedOn w:val="1"/>
    <w:qFormat/>
    <w:uiPriority w:val="99"/>
    <w:pPr>
      <w:snapToGrid w:val="0"/>
    </w:pPr>
    <w:rPr>
      <w:rFonts w:ascii="Arial" w:hAnsi="Arial"/>
    </w:rPr>
  </w:style>
  <w:style w:type="paragraph" w:styleId="6">
    <w:name w:val="Plain Text"/>
    <w:basedOn w:val="1"/>
    <w:qFormat/>
    <w:uiPriority w:val="0"/>
    <w:rPr>
      <w:rFonts w:ascii="宋体" w:hAnsi="Courier New"/>
      <w:color w:val="00FFFF"/>
      <w:szCs w:val="20"/>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8"/>
    <w:qFormat/>
    <w:uiPriority w:val="99"/>
    <w:rPr>
      <w:rFonts w:ascii="Times New Roman" w:hAnsi="Times New Roman"/>
      <w:kern w:val="2"/>
      <w:sz w:val="18"/>
      <w:szCs w:val="18"/>
    </w:rPr>
  </w:style>
  <w:style w:type="character" w:customStyle="1" w:styleId="13">
    <w:name w:val="页脚 字符"/>
    <w:basedOn w:val="10"/>
    <w:link w:val="7"/>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6AE0-87F8-4949-9D53-FD17A08FD7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1823</Words>
  <Characters>1926</Characters>
  <Lines>6</Lines>
  <Paragraphs>1</Paragraphs>
  <TotalTime>3</TotalTime>
  <ScaleCrop>false</ScaleCrop>
  <LinksUpToDate>false</LinksUpToDate>
  <CharactersWithSpaces>1930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2023-06-28T03:12:00Z</dcterms:created>
  <dc:creator>huang</dc:creator>
  <cp:lastModifiedBy>hwm</cp:lastModifiedBy>
  <cp:lastPrinted>2019-04-18T06:15:00Z</cp:lastPrinted>
  <dcterms:modified xsi:type="dcterms:W3CDTF">2023-07-13T02:10:34Z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B7501D19B83D4B7C99E6B0995A7F6BA4</vt:lpwstr>
  </property>
</Properties>
</file>