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val="0"/>
          <w:bCs/>
          <w:color w:val="000000"/>
          <w:sz w:val="32"/>
          <w:szCs w:val="32"/>
        </w:rPr>
      </w:pPr>
      <w:r>
        <w:rPr>
          <w:rFonts w:hint="eastAsia" w:ascii="黑体" w:hAnsi="黑体" w:eastAsia="黑体"/>
          <w:b w:val="0"/>
          <w:bCs/>
          <w:color w:val="000000"/>
          <w:sz w:val="32"/>
          <w:szCs w:val="32"/>
        </w:rPr>
        <w:t>无锡职业技术学院学分制管理办法（修订）</w:t>
      </w:r>
    </w:p>
    <w:p>
      <w:pPr>
        <w:spacing w:line="540" w:lineRule="exact"/>
        <w:ind w:firstLine="602" w:firstLineChars="200"/>
        <w:jc w:val="center"/>
        <w:rPr>
          <w:rFonts w:hint="eastAsia" w:ascii="仿宋_GB2312" w:hAnsi="等线" w:eastAsia="仿宋_GB2312"/>
          <w:b/>
          <w:color w:val="000000"/>
          <w:sz w:val="30"/>
          <w:szCs w:val="30"/>
        </w:rPr>
      </w:pPr>
      <w:r>
        <w:rPr>
          <w:rFonts w:hint="eastAsia" w:ascii="仿宋_GB2312" w:hAnsi="等线" w:eastAsia="仿宋_GB2312"/>
          <w:b/>
          <w:color w:val="000000"/>
          <w:sz w:val="30"/>
          <w:szCs w:val="30"/>
        </w:rPr>
        <w:t>锡职院教〔2021〕11号</w:t>
      </w:r>
    </w:p>
    <w:p>
      <w:pPr>
        <w:widowControl/>
        <w:jc w:val="center"/>
        <w:rPr>
          <w:rFonts w:ascii="仿宋" w:hAnsi="仿宋" w:eastAsia="仿宋" w:cs="仿宋"/>
          <w:b/>
          <w:kern w:val="0"/>
          <w:sz w:val="30"/>
          <w:szCs w:val="30"/>
        </w:rPr>
      </w:pPr>
      <w:r>
        <w:rPr>
          <w:rFonts w:hint="eastAsia" w:ascii="仿宋" w:hAnsi="仿宋" w:eastAsia="仿宋" w:cs="仿宋"/>
          <w:b/>
          <w:kern w:val="0"/>
          <w:sz w:val="30"/>
          <w:szCs w:val="30"/>
        </w:rPr>
        <w:t>第一章 总 则</w:t>
      </w:r>
    </w:p>
    <w:p>
      <w:pPr>
        <w:adjustRightInd w:val="0"/>
        <w:snapToGrid w:val="0"/>
        <w:spacing w:line="360" w:lineRule="auto"/>
        <w:ind w:firstLine="600" w:firstLineChars="200"/>
        <w:rPr>
          <w:rFonts w:ascii="仿宋" w:hAnsi="仿宋" w:eastAsia="仿宋" w:cs="仿宋"/>
          <w:sz w:val="30"/>
          <w:szCs w:val="30"/>
        </w:rPr>
      </w:pPr>
      <w:bookmarkStart w:id="0" w:name="_GoBack"/>
      <w:r>
        <w:rPr>
          <w:rFonts w:hint="eastAsia" w:ascii="仿宋" w:hAnsi="仿宋" w:eastAsia="仿宋" w:cs="仿宋"/>
          <w:sz w:val="30"/>
          <w:szCs w:val="30"/>
        </w:rPr>
        <w:t>第一条  为了进一步深化教育教学改革，完善“双主体两融合多通道”人才培养模式改革。根据《国家职业教育改革实施方案》《教育部 财政部关于实施中国特色高水平高职学校和专业建设计划的意见》《关于在院校实施“学历证书+若干职业技能等级证书”制度试点方案》《关于职业院校专业人才培养方案制订与实施工作的指导意见》等文件精神，结合无锡职业技术学院的实际情况，制定本管理办法。</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第二条  学分制是一种以学生取得的学分数作为衡量和计算学生学习量的基本单位，以取得最低毕业总学分为学生毕业的主要标准的教学管理制度。学分制收费是指按学生修读的学分数计收学费的教育收费管理制</w:t>
      </w:r>
      <w:r>
        <w:rPr>
          <w:rFonts w:hint="eastAsia" w:ascii="仿宋" w:hAnsi="仿宋" w:eastAsia="仿宋" w:cs="仿宋"/>
          <w:sz w:val="30"/>
          <w:szCs w:val="30"/>
          <w:highlight w:val="none"/>
        </w:rPr>
        <w:t>度。</w:t>
      </w:r>
    </w:p>
    <w:p>
      <w:pPr>
        <w:adjustRightInd w:val="0"/>
        <w:snapToGrid w:val="0"/>
        <w:spacing w:line="360" w:lineRule="auto"/>
        <w:ind w:firstLine="600" w:firstLineChars="200"/>
        <w:jc w:val="left"/>
        <w:rPr>
          <w:rFonts w:ascii="仿宋" w:hAnsi="仿宋" w:eastAsia="仿宋" w:cs="仿宋"/>
          <w:b/>
          <w:bCs/>
          <w:spacing w:val="80"/>
          <w:sz w:val="30"/>
          <w:szCs w:val="30"/>
        </w:rPr>
      </w:pPr>
      <w:r>
        <w:rPr>
          <w:rFonts w:hint="eastAsia" w:ascii="仿宋" w:hAnsi="仿宋" w:eastAsia="仿宋" w:cs="仿宋"/>
          <w:sz w:val="30"/>
          <w:szCs w:val="30"/>
        </w:rPr>
        <w:t>第三条  为保证人才培养质量，各专业应科学地按知识、能力、素质协调发展的要求，制定适应社会需要的，具有专业特色的学分制专业人才培养方案。</w:t>
      </w:r>
    </w:p>
    <w:p>
      <w:pPr>
        <w:adjustRightInd w:val="0"/>
        <w:snapToGrid w:val="0"/>
        <w:spacing w:line="360" w:lineRule="auto"/>
        <w:ind w:firstLine="602" w:firstLineChars="200"/>
        <w:jc w:val="center"/>
        <w:rPr>
          <w:rFonts w:ascii="仿宋" w:hAnsi="仿宋" w:eastAsia="仿宋" w:cs="仿宋"/>
          <w:b/>
          <w:bCs/>
          <w:color w:val="auto"/>
          <w:sz w:val="30"/>
          <w:szCs w:val="30"/>
        </w:rPr>
      </w:pPr>
      <w:r>
        <w:rPr>
          <w:rFonts w:hint="eastAsia" w:ascii="仿宋" w:hAnsi="仿宋" w:eastAsia="仿宋" w:cs="仿宋"/>
          <w:b/>
          <w:bCs/>
          <w:sz w:val="30"/>
          <w:szCs w:val="30"/>
        </w:rPr>
        <w:t xml:space="preserve">第二章 </w:t>
      </w:r>
      <w:r>
        <w:rPr>
          <w:rFonts w:hint="eastAsia" w:ascii="仿宋" w:hAnsi="仿宋" w:eastAsia="仿宋" w:cs="仿宋"/>
          <w:b/>
          <w:bCs/>
          <w:color w:val="auto"/>
          <w:sz w:val="30"/>
          <w:szCs w:val="30"/>
        </w:rPr>
        <w:t>学分额定</w:t>
      </w:r>
    </w:p>
    <w:p>
      <w:pPr>
        <w:adjustRightInd w:val="0"/>
        <w:snapToGrid w:val="0"/>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第四条  学分包括理论教学学分、实践教学学分、素质教育学分、成果奖励学分、证书培训学分、中外合作办学项目学分等。</w:t>
      </w:r>
    </w:p>
    <w:p>
      <w:pPr>
        <w:adjustRightInd w:val="0"/>
        <w:snapToGrid w:val="0"/>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第五条  学分额定</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理论教学学分额定方法为：16学时计1学分。实行项目化课程改革的，按课程标准的规定额计学分。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实践教学学分包括军训、专业实习、课程设计、专用周、毕业设计（论文）、毕业实践等，每周28学时计1学分。毕业教育（含毕业典礼与离校）计1学分。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素质教育学分包括文化素质、公共艺术、军事理论、大学生心理健康教育、体质健康、国家安全教育、节能减排、绿色环保、金融知识、社会责任、人口资源、海洋科学、管理等人文素养和科学素养方面的课程，按相应模块规定额计学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成果奖励学分包括学术论文、专利、技术开发项目、教学研究项目、学科技能大赛、创新创业大赛等，其学分额定与置换由《无锡职业技术学院学分银行管理办法》规定。</w:t>
      </w:r>
    </w:p>
    <w:p>
      <w:pPr>
        <w:adjustRightInd w:val="0"/>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证书培训学分包括职业技能等级证书、企业认证证书等，其学分额定与置换由《无锡职业技术学院学分银行管理办法》规定。</w:t>
      </w:r>
    </w:p>
    <w:p>
      <w:pPr>
        <w:adjustRightInd w:val="0"/>
        <w:snapToGrid w:val="0"/>
        <w:spacing w:line="360" w:lineRule="auto"/>
        <w:ind w:firstLine="600" w:firstLineChars="200"/>
        <w:rPr>
          <w:rFonts w:ascii="仿宋" w:hAnsi="仿宋" w:eastAsia="仿宋" w:cs="仿宋"/>
          <w:color w:val="FF0000"/>
          <w:sz w:val="30"/>
          <w:szCs w:val="30"/>
        </w:rPr>
      </w:pPr>
      <w:r>
        <w:rPr>
          <w:rFonts w:hint="eastAsia" w:ascii="仿宋" w:hAnsi="仿宋" w:eastAsia="仿宋" w:cs="仿宋"/>
          <w:color w:val="auto"/>
          <w:sz w:val="30"/>
          <w:szCs w:val="30"/>
          <w:highlight w:val="none"/>
        </w:rPr>
        <w:t>中外合作办学项目学分指学生于国外合作院校完成的外方培养方案的学分，具体学分额定与置换方法以项目合作协议约定为准。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第六条  学分取得</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（一）所有课程均进行成绩考核，考核分为考试与考查两种。课程考核60分（及格）或以上者即可获得该课程的规定学分和相应绩点。成绩、学分和绩点同时计入学生成绩档案。</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课程考核不及格的给予一次学期补考机会，补考及格者成绩计为60分（或及格），并可获得该课程的学分；补考不及格或不按规定参加补考者，必须报名参加重新学习，考核成绩达60分以上或者及格以上者，可以取得该门课程的规定学分和相应绩点。</w:t>
      </w:r>
    </w:p>
    <w:p>
      <w:pPr>
        <w:pStyle w:val="9"/>
        <w:adjustRightInd w:val="0"/>
        <w:snapToGrid w:val="0"/>
        <w:spacing w:before="0" w:beforeAutospacing="0" w:after="0" w:afterAutospacing="0" w:line="360" w:lineRule="auto"/>
        <w:ind w:firstLine="600" w:firstLineChars="200"/>
        <w:jc w:val="both"/>
        <w:rPr>
          <w:rFonts w:ascii="仿宋" w:hAnsi="仿宋" w:eastAsia="仿宋" w:cs="仿宋"/>
          <w:kern w:val="2"/>
          <w:sz w:val="30"/>
          <w:szCs w:val="30"/>
        </w:rPr>
      </w:pPr>
      <w:r>
        <w:rPr>
          <w:rFonts w:hint="eastAsia" w:ascii="仿宋" w:hAnsi="仿宋" w:eastAsia="仿宋" w:cs="仿宋"/>
          <w:sz w:val="30"/>
          <w:szCs w:val="30"/>
        </w:rPr>
        <w:t>使用到机床设备</w:t>
      </w:r>
      <w:r>
        <w:rPr>
          <w:rFonts w:hint="eastAsia" w:ascii="仿宋" w:hAnsi="仿宋" w:eastAsia="仿宋" w:cs="仿宋"/>
          <w:color w:val="auto"/>
          <w:sz w:val="30"/>
          <w:szCs w:val="30"/>
          <w:highlight w:val="none"/>
          <w:lang w:eastAsia="zh-CN"/>
        </w:rPr>
        <w:t>或</w:t>
      </w:r>
      <w:r>
        <w:rPr>
          <w:rFonts w:hint="eastAsia" w:ascii="仿宋" w:hAnsi="仿宋" w:eastAsia="仿宋" w:cs="仿宋"/>
          <w:sz w:val="30"/>
          <w:szCs w:val="30"/>
        </w:rPr>
        <w:t>固定实习工位的实践课程，如考试</w:t>
      </w:r>
      <w:r>
        <w:rPr>
          <w:rFonts w:hint="eastAsia" w:ascii="仿宋" w:hAnsi="仿宋" w:eastAsia="仿宋" w:cs="仿宋"/>
          <w:kern w:val="2"/>
          <w:sz w:val="30"/>
          <w:szCs w:val="30"/>
        </w:rPr>
        <w:t>不及格者不予补考，学生应重新学习该课程。</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学生因病或特殊原因不能按时参加考试，需在该课程考试前持有效证明（因病须持二级甲等及以上医院证明）申请缓考，经班主任（或年级辅导员）核实，由学生所在学院及课程所属部门批准，教务处审批。经批准缓考的学生，其课程成绩由任课教师以“缓考”录入。与学期补考的学生一起参加课程考核，课程考试成绩原则上以实际成绩计入补考成绩，并取得相应学分；缓考不及格的，不再安排补考，报名参加重新学习。</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（四）取消课程考核资格的，该课程成绩在记分登记时注明“取消考试资格”，并不得参加学期补考，必须报名参加重新学习。任课教师须在考试前一周将取消考试资格的学生名单报教务处审批。</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1.无课程实验的理论课程,有下列情况者取消该课程的考核资格：</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该课程旷课累计达到8学时以上（含）者；</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缺课超过该课程的1/3者；</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作业缺交1/3以上（含）者（按教师规定时间逾期一周不交者，以缺交论处）。</w:t>
      </w:r>
    </w:p>
    <w:p>
      <w:pPr>
        <w:adjustRightInd w:val="0"/>
        <w:snapToGrid w:val="0"/>
        <w:spacing w:line="360" w:lineRule="auto"/>
        <w:ind w:firstLine="600" w:firstLineChars="200"/>
        <w:rPr>
          <w:rFonts w:ascii="仿宋" w:hAnsi="仿宋" w:eastAsia="仿宋" w:cs="仿宋"/>
          <w:color w:val="auto"/>
          <w:sz w:val="30"/>
          <w:szCs w:val="30"/>
        </w:rPr>
      </w:pPr>
      <w:r>
        <w:rPr>
          <w:rFonts w:hint="eastAsia" w:ascii="仿宋" w:hAnsi="仿宋" w:eastAsia="仿宋" w:cs="仿宋"/>
          <w:sz w:val="30"/>
          <w:szCs w:val="30"/>
        </w:rPr>
        <w:t>2.有课程实验的理论课程，</w:t>
      </w:r>
      <w:r>
        <w:rPr>
          <w:rFonts w:hint="eastAsia" w:ascii="仿宋" w:hAnsi="仿宋" w:eastAsia="仿宋" w:cs="仿宋"/>
          <w:color w:val="auto"/>
          <w:sz w:val="30"/>
          <w:szCs w:val="30"/>
        </w:rPr>
        <w:t>课程标准对实验课无特别要求的，按本条第（1）项处理；课程标准对实验课有特别要求的，实验课按课程标准规定执行。</w:t>
      </w:r>
    </w:p>
    <w:p>
      <w:pPr>
        <w:pStyle w:val="4"/>
        <w:adjustRightInd w:val="0"/>
        <w:snapToGrid w:val="0"/>
        <w:spacing w:line="360" w:lineRule="auto"/>
        <w:ind w:firstLine="600" w:firstLineChars="200"/>
        <w:rPr>
          <w:rFonts w:hint="eastAsia" w:ascii="仿宋" w:hAnsi="仿宋" w:eastAsia="仿宋" w:cs="仿宋"/>
          <w:sz w:val="30"/>
          <w:szCs w:val="30"/>
          <w:lang w:eastAsia="zh-CN"/>
        </w:rPr>
      </w:pPr>
      <w:r>
        <w:rPr>
          <w:rFonts w:ascii="仿宋" w:hAnsi="仿宋" w:eastAsia="仿宋" w:cs="仿宋"/>
          <w:sz w:val="30"/>
          <w:szCs w:val="30"/>
        </w:rPr>
        <w:t>3.单独设课的实验课、专用周、课程设计、毕业设计（论文）、实训、实习等实践课程缺课超过该课程的1/3的，实验报告或作业缺交1/3以上（含）者（按教师规定时间逾期一周不交者，以缺交论处），取消该课程的考核资格。</w:t>
      </w:r>
      <w:r>
        <w:rPr>
          <w:rFonts w:hint="eastAsia" w:ascii="仿宋" w:hAnsi="仿宋" w:eastAsia="仿宋" w:cs="仿宋"/>
          <w:sz w:val="30"/>
          <w:szCs w:val="30"/>
        </w:rPr>
        <w:t>课程</w:t>
      </w:r>
      <w:r>
        <w:rPr>
          <w:rFonts w:hint="eastAsia" w:ascii="仿宋" w:hAnsi="仿宋" w:eastAsia="仿宋" w:cs="仿宋"/>
          <w:sz w:val="30"/>
          <w:szCs w:val="30"/>
          <w:lang w:eastAsia="zh-CN"/>
        </w:rPr>
        <w:t>标准</w:t>
      </w:r>
      <w:r>
        <w:rPr>
          <w:rFonts w:hint="eastAsia" w:ascii="仿宋" w:hAnsi="仿宋" w:eastAsia="仿宋" w:cs="仿宋"/>
          <w:sz w:val="30"/>
          <w:szCs w:val="30"/>
        </w:rPr>
        <w:t>有特别要求的，按课程</w:t>
      </w:r>
      <w:r>
        <w:rPr>
          <w:rFonts w:hint="eastAsia" w:ascii="仿宋" w:hAnsi="仿宋" w:eastAsia="仿宋" w:cs="仿宋"/>
          <w:sz w:val="30"/>
          <w:szCs w:val="30"/>
          <w:lang w:eastAsia="zh-CN"/>
        </w:rPr>
        <w:t>标准</w:t>
      </w:r>
      <w:r>
        <w:rPr>
          <w:rFonts w:hint="eastAsia" w:ascii="仿宋" w:hAnsi="仿宋" w:eastAsia="仿宋" w:cs="仿宋"/>
          <w:sz w:val="30"/>
          <w:szCs w:val="30"/>
        </w:rPr>
        <w:t>规定执行</w:t>
      </w:r>
      <w:r>
        <w:rPr>
          <w:rFonts w:hint="eastAsia" w:ascii="仿宋" w:hAnsi="仿宋" w:eastAsia="仿宋" w:cs="仿宋"/>
          <w:sz w:val="30"/>
          <w:szCs w:val="30"/>
          <w:lang w:eastAsia="zh-CN"/>
        </w:rPr>
        <w:t>。</w:t>
      </w:r>
    </w:p>
    <w:p>
      <w:pPr>
        <w:pStyle w:val="3"/>
        <w:topLinePunct/>
        <w:snapToGrid w:val="0"/>
        <w:spacing w:after="0" w:line="360" w:lineRule="auto"/>
        <w:ind w:firstLine="600" w:firstLineChars="200"/>
        <w:rPr>
          <w:rFonts w:ascii="仿宋" w:hAnsi="仿宋" w:eastAsia="仿宋" w:cs="仿宋"/>
          <w:sz w:val="30"/>
          <w:szCs w:val="30"/>
        </w:rPr>
      </w:pPr>
      <w:r>
        <w:rPr>
          <w:rFonts w:hint="eastAsia" w:ascii="仿宋" w:hAnsi="仿宋" w:eastAsia="仿宋" w:cs="仿宋"/>
          <w:sz w:val="30"/>
          <w:szCs w:val="30"/>
        </w:rPr>
        <w:t>（五）公共体育课为必修课。体育课成绩以考勤、课内教学成绩、课外锻炼活动情况和体质健康等综合评定，突出过程管理。学生因身体原因暂时不能上体育课者，经二级甲等及以上医院证明，学校医务室核定，体育部同意，由体育部办理编入体育保健班学习的手续。经批准的学生可转入保健班按规定要求上课，亦可取得成绩和学分，具体按《无锡职业技术学院体育课程学分计算与管理办法》执行。</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第七条  学分绩点与平均学分绩点</w:t>
      </w:r>
    </w:p>
    <w:p>
      <w:pPr>
        <w:adjustRightInd w:val="0"/>
        <w:snapToGrid w:val="0"/>
        <w:spacing w:line="360" w:lineRule="auto"/>
        <w:ind w:firstLine="616" w:firstLineChars="200"/>
        <w:rPr>
          <w:rFonts w:ascii="仿宋" w:hAnsi="仿宋" w:eastAsia="仿宋" w:cs="仿宋"/>
          <w:spacing w:val="4"/>
          <w:kern w:val="0"/>
          <w:sz w:val="30"/>
          <w:szCs w:val="30"/>
        </w:rPr>
      </w:pPr>
      <w:r>
        <w:rPr>
          <w:rFonts w:hint="eastAsia" w:ascii="仿宋" w:hAnsi="仿宋" w:eastAsia="仿宋" w:cs="仿宋"/>
          <w:spacing w:val="4"/>
          <w:kern w:val="0"/>
          <w:sz w:val="30"/>
          <w:szCs w:val="30"/>
        </w:rPr>
        <w:t>（一）学分绩点是评价学生学习质量的指标，每门课程的学分绩点由所获课程的学分与成绩绩点的乘积构成，公共选修课不纳入学分绩点计算。课程考核成绩与绩点对应标准如下：</w:t>
      </w:r>
    </w:p>
    <w:p>
      <w:pPr>
        <w:pStyle w:val="4"/>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1.百分制成绩与绩点对应标准：</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4"/>
        <w:gridCol w:w="2847"/>
        <w:gridCol w:w="2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614"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b/>
                <w:bCs/>
                <w:sz w:val="28"/>
                <w:szCs w:val="28"/>
              </w:rPr>
            </w:pPr>
            <w:r>
              <w:rPr>
                <w:rFonts w:hint="eastAsia" w:ascii="仿宋" w:hAnsi="仿宋" w:eastAsia="仿宋" w:cs="仿宋"/>
                <w:b/>
                <w:bCs/>
                <w:spacing w:val="2"/>
                <w:sz w:val="28"/>
                <w:szCs w:val="28"/>
              </w:rPr>
              <w:t>等级</w:t>
            </w:r>
          </w:p>
        </w:tc>
        <w:tc>
          <w:tcPr>
            <w:tcW w:w="2847"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b/>
                <w:bCs/>
                <w:sz w:val="28"/>
                <w:szCs w:val="28"/>
              </w:rPr>
            </w:pPr>
            <w:r>
              <w:rPr>
                <w:rFonts w:hint="eastAsia" w:ascii="仿宋" w:hAnsi="仿宋" w:eastAsia="仿宋" w:cs="仿宋"/>
                <w:b/>
                <w:bCs/>
                <w:spacing w:val="2"/>
                <w:sz w:val="28"/>
                <w:szCs w:val="28"/>
              </w:rPr>
              <w:t>课</w:t>
            </w:r>
            <w:r>
              <w:rPr>
                <w:rFonts w:hint="eastAsia" w:ascii="仿宋" w:hAnsi="仿宋" w:eastAsia="仿宋" w:cs="仿宋"/>
                <w:b/>
                <w:bCs/>
                <w:sz w:val="28"/>
                <w:szCs w:val="28"/>
              </w:rPr>
              <w:t>程考</w:t>
            </w:r>
            <w:r>
              <w:rPr>
                <w:rFonts w:hint="eastAsia" w:ascii="仿宋" w:hAnsi="仿宋" w:eastAsia="仿宋" w:cs="仿宋"/>
                <w:b/>
                <w:bCs/>
                <w:spacing w:val="2"/>
                <w:sz w:val="28"/>
                <w:szCs w:val="28"/>
              </w:rPr>
              <w:t>核</w:t>
            </w:r>
            <w:r>
              <w:rPr>
                <w:rFonts w:hint="eastAsia" w:ascii="仿宋" w:hAnsi="仿宋" w:eastAsia="仿宋" w:cs="仿宋"/>
                <w:b/>
                <w:bCs/>
                <w:sz w:val="28"/>
                <w:szCs w:val="28"/>
              </w:rPr>
              <w:t>成绩</w:t>
            </w:r>
          </w:p>
        </w:tc>
        <w:tc>
          <w:tcPr>
            <w:tcW w:w="2449"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b/>
                <w:bCs/>
                <w:sz w:val="28"/>
                <w:szCs w:val="28"/>
              </w:rPr>
            </w:pPr>
            <w:r>
              <w:rPr>
                <w:rFonts w:hint="eastAsia" w:ascii="仿宋" w:hAnsi="仿宋" w:eastAsia="仿宋" w:cs="仿宋"/>
                <w:b/>
                <w:bCs/>
                <w:sz w:val="28"/>
                <w:szCs w:val="28"/>
              </w:rPr>
              <w:t>成绩绩点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14"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A</w:t>
            </w:r>
          </w:p>
        </w:tc>
        <w:tc>
          <w:tcPr>
            <w:tcW w:w="2847"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z w:val="28"/>
                <w:szCs w:val="28"/>
              </w:rPr>
            </w:pPr>
            <w:r>
              <w:rPr>
                <w:rFonts w:hint="eastAsia" w:ascii="仿宋" w:hAnsi="仿宋" w:eastAsia="仿宋" w:cs="仿宋"/>
                <w:spacing w:val="1"/>
                <w:sz w:val="28"/>
                <w:szCs w:val="28"/>
              </w:rPr>
              <w:t>90</w:t>
            </w:r>
            <w:r>
              <w:rPr>
                <w:rFonts w:hint="eastAsia" w:ascii="仿宋" w:hAnsi="仿宋" w:eastAsia="仿宋" w:cs="仿宋"/>
                <w:sz w:val="28"/>
                <w:szCs w:val="28"/>
              </w:rPr>
              <w:t>—</w:t>
            </w:r>
            <w:r>
              <w:rPr>
                <w:rFonts w:hint="eastAsia" w:ascii="仿宋" w:hAnsi="仿宋" w:eastAsia="仿宋" w:cs="仿宋"/>
                <w:spacing w:val="1"/>
                <w:sz w:val="28"/>
                <w:szCs w:val="28"/>
              </w:rPr>
              <w:t>100</w:t>
            </w:r>
          </w:p>
        </w:tc>
        <w:tc>
          <w:tcPr>
            <w:tcW w:w="2449"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4.0-5.0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614"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B</w:t>
            </w:r>
          </w:p>
        </w:tc>
        <w:tc>
          <w:tcPr>
            <w:tcW w:w="2847"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z w:val="28"/>
                <w:szCs w:val="28"/>
              </w:rPr>
            </w:pPr>
            <w:r>
              <w:rPr>
                <w:rFonts w:hint="eastAsia" w:ascii="仿宋" w:hAnsi="仿宋" w:eastAsia="仿宋" w:cs="仿宋"/>
                <w:spacing w:val="1"/>
                <w:sz w:val="28"/>
                <w:szCs w:val="28"/>
              </w:rPr>
              <w:t>80</w:t>
            </w:r>
            <w:r>
              <w:rPr>
                <w:rFonts w:hint="eastAsia" w:ascii="仿宋" w:hAnsi="仿宋" w:eastAsia="仿宋" w:cs="仿宋"/>
                <w:sz w:val="28"/>
                <w:szCs w:val="28"/>
              </w:rPr>
              <w:t>—</w:t>
            </w:r>
            <w:r>
              <w:rPr>
                <w:rFonts w:hint="eastAsia" w:ascii="仿宋" w:hAnsi="仿宋" w:eastAsia="仿宋" w:cs="仿宋"/>
                <w:spacing w:val="1"/>
                <w:sz w:val="28"/>
                <w:szCs w:val="28"/>
              </w:rPr>
              <w:t>89</w:t>
            </w:r>
          </w:p>
        </w:tc>
        <w:tc>
          <w:tcPr>
            <w:tcW w:w="2449"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3.0-3.9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614"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C</w:t>
            </w:r>
          </w:p>
        </w:tc>
        <w:tc>
          <w:tcPr>
            <w:tcW w:w="2847"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z w:val="28"/>
                <w:szCs w:val="28"/>
              </w:rPr>
            </w:pPr>
            <w:r>
              <w:rPr>
                <w:rFonts w:hint="eastAsia" w:ascii="仿宋" w:hAnsi="仿宋" w:eastAsia="仿宋" w:cs="仿宋"/>
                <w:spacing w:val="1"/>
                <w:sz w:val="28"/>
                <w:szCs w:val="28"/>
              </w:rPr>
              <w:t>70</w:t>
            </w:r>
            <w:r>
              <w:rPr>
                <w:rFonts w:hint="eastAsia" w:ascii="仿宋" w:hAnsi="仿宋" w:eastAsia="仿宋" w:cs="仿宋"/>
                <w:sz w:val="28"/>
                <w:szCs w:val="28"/>
              </w:rPr>
              <w:t>—</w:t>
            </w:r>
            <w:r>
              <w:rPr>
                <w:rFonts w:hint="eastAsia" w:ascii="仿宋" w:hAnsi="仿宋" w:eastAsia="仿宋" w:cs="仿宋"/>
                <w:spacing w:val="1"/>
                <w:sz w:val="28"/>
                <w:szCs w:val="28"/>
              </w:rPr>
              <w:t>79</w:t>
            </w:r>
          </w:p>
        </w:tc>
        <w:tc>
          <w:tcPr>
            <w:tcW w:w="2449"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2.0-2.9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14"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D</w:t>
            </w:r>
          </w:p>
        </w:tc>
        <w:tc>
          <w:tcPr>
            <w:tcW w:w="2847"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z w:val="28"/>
                <w:szCs w:val="28"/>
              </w:rPr>
            </w:pPr>
            <w:r>
              <w:rPr>
                <w:rFonts w:hint="eastAsia" w:ascii="仿宋" w:hAnsi="仿宋" w:eastAsia="仿宋" w:cs="仿宋"/>
                <w:spacing w:val="1"/>
                <w:sz w:val="28"/>
                <w:szCs w:val="28"/>
              </w:rPr>
              <w:t>60</w:t>
            </w:r>
            <w:r>
              <w:rPr>
                <w:rFonts w:hint="eastAsia" w:ascii="仿宋" w:hAnsi="仿宋" w:eastAsia="仿宋" w:cs="仿宋"/>
                <w:sz w:val="28"/>
                <w:szCs w:val="28"/>
              </w:rPr>
              <w:t>—</w:t>
            </w:r>
            <w:r>
              <w:rPr>
                <w:rFonts w:hint="eastAsia" w:ascii="仿宋" w:hAnsi="仿宋" w:eastAsia="仿宋" w:cs="仿宋"/>
                <w:spacing w:val="1"/>
                <w:sz w:val="28"/>
                <w:szCs w:val="28"/>
              </w:rPr>
              <w:t>69</w:t>
            </w:r>
          </w:p>
        </w:tc>
        <w:tc>
          <w:tcPr>
            <w:tcW w:w="2449"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1.0-1.9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614"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E</w:t>
            </w:r>
          </w:p>
        </w:tc>
        <w:tc>
          <w:tcPr>
            <w:tcW w:w="2847"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z w:val="28"/>
                <w:szCs w:val="28"/>
              </w:rPr>
            </w:pPr>
            <w:r>
              <w:rPr>
                <w:rFonts w:hint="eastAsia" w:ascii="仿宋" w:hAnsi="仿宋" w:eastAsia="仿宋" w:cs="仿宋"/>
                <w:spacing w:val="1"/>
                <w:sz w:val="28"/>
                <w:szCs w:val="28"/>
              </w:rPr>
              <w:t>5</w:t>
            </w:r>
            <w:r>
              <w:rPr>
                <w:rFonts w:hint="eastAsia" w:ascii="仿宋" w:hAnsi="仿宋" w:eastAsia="仿宋" w:cs="仿宋"/>
                <w:sz w:val="28"/>
                <w:szCs w:val="28"/>
              </w:rPr>
              <w:t>9及</w:t>
            </w:r>
            <w:r>
              <w:rPr>
                <w:rFonts w:hint="eastAsia" w:ascii="仿宋" w:hAnsi="仿宋" w:eastAsia="仿宋" w:cs="仿宋"/>
                <w:spacing w:val="1"/>
                <w:sz w:val="28"/>
                <w:szCs w:val="28"/>
              </w:rPr>
              <w:t>以</w:t>
            </w:r>
            <w:r>
              <w:rPr>
                <w:rFonts w:hint="eastAsia" w:ascii="仿宋" w:hAnsi="仿宋" w:eastAsia="仿宋" w:cs="仿宋"/>
                <w:sz w:val="28"/>
                <w:szCs w:val="28"/>
              </w:rPr>
              <w:t>下</w:t>
            </w:r>
          </w:p>
        </w:tc>
        <w:tc>
          <w:tcPr>
            <w:tcW w:w="2449" w:type="dxa"/>
            <w:tcBorders>
              <w:tl2br w:val="nil"/>
              <w:tr2bl w:val="nil"/>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0</w:t>
            </w:r>
          </w:p>
        </w:tc>
      </w:tr>
    </w:tbl>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2.等级制成绩与绩点对应标准：</w:t>
      </w:r>
    </w:p>
    <w:tbl>
      <w:tblPr>
        <w:tblStyle w:val="11"/>
        <w:tblW w:w="0" w:type="auto"/>
        <w:tblInd w:w="11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5"/>
        <w:gridCol w:w="2174"/>
        <w:gridCol w:w="23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5"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b/>
                <w:bCs/>
                <w:sz w:val="28"/>
                <w:szCs w:val="28"/>
              </w:rPr>
            </w:pPr>
            <w:r>
              <w:rPr>
                <w:rFonts w:hint="eastAsia" w:ascii="仿宋" w:hAnsi="仿宋" w:eastAsia="仿宋" w:cs="仿宋"/>
                <w:b/>
                <w:bCs/>
                <w:sz w:val="28"/>
                <w:szCs w:val="28"/>
              </w:rPr>
              <w:t>等级制</w:t>
            </w:r>
          </w:p>
        </w:tc>
        <w:tc>
          <w:tcPr>
            <w:tcW w:w="2174"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b/>
                <w:bCs/>
                <w:sz w:val="28"/>
                <w:szCs w:val="28"/>
              </w:rPr>
            </w:pPr>
            <w:r>
              <w:rPr>
                <w:rFonts w:hint="eastAsia" w:ascii="仿宋" w:hAnsi="仿宋" w:eastAsia="仿宋" w:cs="仿宋"/>
                <w:b/>
                <w:bCs/>
                <w:sz w:val="28"/>
                <w:szCs w:val="28"/>
              </w:rPr>
              <w:t>折合百分制</w:t>
            </w:r>
          </w:p>
        </w:tc>
        <w:tc>
          <w:tcPr>
            <w:tcW w:w="2330"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b/>
                <w:bCs/>
                <w:sz w:val="28"/>
                <w:szCs w:val="28"/>
              </w:rPr>
            </w:pPr>
            <w:r>
              <w:rPr>
                <w:rFonts w:hint="eastAsia" w:ascii="仿宋" w:hAnsi="仿宋" w:eastAsia="仿宋" w:cs="仿宋"/>
                <w:b/>
                <w:bCs/>
                <w:sz w:val="28"/>
                <w:szCs w:val="28"/>
              </w:rPr>
              <w:t>成绩绩点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95"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优秀</w:t>
            </w:r>
          </w:p>
        </w:tc>
        <w:tc>
          <w:tcPr>
            <w:tcW w:w="2174"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95</w:t>
            </w:r>
          </w:p>
        </w:tc>
        <w:tc>
          <w:tcPr>
            <w:tcW w:w="2330"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95"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良好</w:t>
            </w:r>
          </w:p>
        </w:tc>
        <w:tc>
          <w:tcPr>
            <w:tcW w:w="2174"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85</w:t>
            </w:r>
          </w:p>
        </w:tc>
        <w:tc>
          <w:tcPr>
            <w:tcW w:w="2330"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295"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中</w:t>
            </w:r>
          </w:p>
        </w:tc>
        <w:tc>
          <w:tcPr>
            <w:tcW w:w="2174"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75</w:t>
            </w:r>
          </w:p>
        </w:tc>
        <w:tc>
          <w:tcPr>
            <w:tcW w:w="2330"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295"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及格</w:t>
            </w:r>
          </w:p>
        </w:tc>
        <w:tc>
          <w:tcPr>
            <w:tcW w:w="2174"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65</w:t>
            </w:r>
          </w:p>
        </w:tc>
        <w:tc>
          <w:tcPr>
            <w:tcW w:w="2330"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295"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不及格</w:t>
            </w:r>
          </w:p>
        </w:tc>
        <w:tc>
          <w:tcPr>
            <w:tcW w:w="2174"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50</w:t>
            </w:r>
          </w:p>
        </w:tc>
        <w:tc>
          <w:tcPr>
            <w:tcW w:w="2330"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val="0"/>
              <w:wordWrap/>
              <w:overflowPunct w:val="0"/>
              <w:topLinePunct/>
              <w:autoSpaceDE w:val="0"/>
              <w:autoSpaceDN w:val="0"/>
              <w:bidi w:val="0"/>
              <w:adjustRightInd w:val="0"/>
              <w:snapToGrid w:val="0"/>
              <w:spacing w:line="240" w:lineRule="auto"/>
              <w:ind w:right="0" w:rightChars="0"/>
              <w:jc w:val="center"/>
              <w:textAlignment w:val="auto"/>
              <w:rPr>
                <w:rFonts w:ascii="仿宋" w:hAnsi="仿宋" w:eastAsia="仿宋" w:cs="仿宋"/>
                <w:spacing w:val="1"/>
                <w:sz w:val="28"/>
                <w:szCs w:val="28"/>
              </w:rPr>
            </w:pPr>
            <w:r>
              <w:rPr>
                <w:rFonts w:hint="eastAsia" w:ascii="仿宋" w:hAnsi="仿宋" w:eastAsia="仿宋" w:cs="仿宋"/>
                <w:spacing w:val="1"/>
                <w:sz w:val="28"/>
                <w:szCs w:val="28"/>
              </w:rPr>
              <w:t>0</w:t>
            </w:r>
          </w:p>
        </w:tc>
      </w:tr>
    </w:tbl>
    <w:p>
      <w:pPr>
        <w:pStyle w:val="3"/>
        <w:kinsoku w:val="0"/>
        <w:overflowPunct w:val="0"/>
        <w:topLinePunct/>
        <w:autoSpaceDE w:val="0"/>
        <w:autoSpaceDN w:val="0"/>
        <w:adjustRightInd w:val="0"/>
        <w:snapToGrid w:val="0"/>
        <w:spacing w:after="0" w:line="360" w:lineRule="auto"/>
        <w:ind w:firstLine="600" w:firstLineChars="200"/>
        <w:rPr>
          <w:rFonts w:ascii="仿宋" w:hAnsi="仿宋" w:eastAsia="仿宋" w:cs="仿宋"/>
          <w:spacing w:val="4"/>
          <w:kern w:val="0"/>
          <w:sz w:val="30"/>
          <w:szCs w:val="30"/>
        </w:rPr>
      </w:pPr>
      <w:r>
        <w:rPr>
          <w:rFonts w:hint="eastAsia" w:ascii="仿宋" w:hAnsi="仿宋" w:eastAsia="仿宋" w:cs="仿宋"/>
          <w:sz w:val="30"/>
          <w:szCs w:val="30"/>
        </w:rPr>
        <w:t>3.</w:t>
      </w:r>
      <w:r>
        <w:rPr>
          <w:rFonts w:hint="eastAsia" w:ascii="仿宋" w:hAnsi="仿宋" w:eastAsia="仿宋" w:cs="仿宋"/>
          <w:spacing w:val="4"/>
          <w:kern w:val="0"/>
          <w:sz w:val="30"/>
          <w:szCs w:val="30"/>
        </w:rPr>
        <w:t>其他计分方式情况</w:t>
      </w:r>
    </w:p>
    <w:p>
      <w:pPr>
        <w:pStyle w:val="3"/>
        <w:kinsoku w:val="0"/>
        <w:overflowPunct w:val="0"/>
        <w:topLinePunct/>
        <w:autoSpaceDE w:val="0"/>
        <w:autoSpaceDN w:val="0"/>
        <w:adjustRightInd w:val="0"/>
        <w:snapToGrid w:val="0"/>
        <w:spacing w:after="0" w:line="360" w:lineRule="auto"/>
        <w:ind w:firstLine="616" w:firstLineChars="200"/>
        <w:rPr>
          <w:rFonts w:ascii="仿宋" w:hAnsi="仿宋" w:eastAsia="仿宋" w:cs="仿宋"/>
          <w:spacing w:val="4"/>
          <w:kern w:val="0"/>
          <w:sz w:val="30"/>
          <w:szCs w:val="30"/>
        </w:rPr>
      </w:pPr>
      <w:r>
        <w:rPr>
          <w:rFonts w:hint="eastAsia" w:ascii="仿宋" w:hAnsi="仿宋" w:eastAsia="仿宋" w:cs="仿宋"/>
          <w:spacing w:val="4"/>
          <w:kern w:val="0"/>
          <w:sz w:val="30"/>
          <w:szCs w:val="30"/>
        </w:rPr>
        <w:t>合格/不合格计分制课程，其中：合格折合百分制85分，成绩绩点为3.5；不合格折合百分制50分；成绩绩点为0。</w:t>
      </w:r>
    </w:p>
    <w:p>
      <w:pPr>
        <w:pStyle w:val="3"/>
        <w:kinsoku w:val="0"/>
        <w:overflowPunct w:val="0"/>
        <w:topLinePunct/>
        <w:snapToGrid w:val="0"/>
        <w:spacing w:after="0" w:line="360" w:lineRule="auto"/>
        <w:ind w:firstLine="616" w:firstLineChars="200"/>
        <w:rPr>
          <w:rFonts w:ascii="仿宋" w:hAnsi="仿宋" w:eastAsia="仿宋" w:cs="仿宋"/>
          <w:spacing w:val="4"/>
          <w:kern w:val="0"/>
          <w:sz w:val="30"/>
          <w:szCs w:val="30"/>
        </w:rPr>
      </w:pPr>
      <w:r>
        <w:rPr>
          <w:rFonts w:hint="eastAsia" w:ascii="仿宋" w:hAnsi="仿宋" w:eastAsia="仿宋" w:cs="仿宋"/>
          <w:spacing w:val="4"/>
          <w:kern w:val="0"/>
          <w:sz w:val="30"/>
          <w:szCs w:val="30"/>
        </w:rPr>
        <w:t>申请免修的课程，成绩标记为“免修”，成绩折算为百分制75分，成绩绩点为2.5。</w:t>
      </w:r>
    </w:p>
    <w:p>
      <w:pPr>
        <w:pStyle w:val="3"/>
        <w:overflowPunct w:val="0"/>
        <w:topLinePunct/>
        <w:autoSpaceDE w:val="0"/>
        <w:autoSpaceDN w:val="0"/>
        <w:adjustRightInd w:val="0"/>
        <w:snapToGrid w:val="0"/>
        <w:spacing w:after="0"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（二）平均学分绩点是衡量学生学习质量的主要指标，是免修、评优的重要依据。平均学分绩点每学期计算一次，计算公式如下： </w:t>
      </w:r>
    </w:p>
    <w:p>
      <w:pPr>
        <w:spacing w:line="360" w:lineRule="auto"/>
        <w:jc w:val="center"/>
        <w:rPr>
          <w:rFonts w:ascii="仿宋" w:hAnsi="仿宋" w:eastAsia="仿宋" w:cs="仿宋"/>
          <w:sz w:val="30"/>
          <w:szCs w:val="30"/>
        </w:rPr>
      </w:pPr>
      <m:oMathPara>
        <m:oMath>
          <m:r>
            <m:rPr>
              <m:sty m:val="p"/>
            </m:rPr>
            <w:rPr>
              <w:rFonts w:hint="eastAsia" w:ascii="Cambria Math" w:hAnsi="Cambria Math" w:eastAsia="仿宋" w:cs="仿宋"/>
              <w:sz w:val="30"/>
              <w:szCs w:val="30"/>
            </w:rPr>
            <m:t>学期（或学年）的平均学分绩点=</m:t>
          </m:r>
          <m:f>
            <m:fPr>
              <m:ctrlPr>
                <w:rPr>
                  <w:rFonts w:hint="eastAsia" w:ascii="Cambria Math" w:hAnsi="Cambria Math" w:eastAsia="仿宋" w:cs="仿宋"/>
                  <w:sz w:val="30"/>
                  <w:szCs w:val="30"/>
                </w:rPr>
              </m:ctrlPr>
            </m:fPr>
            <m:num>
              <m:r>
                <m:rPr>
                  <m:sty m:val="p"/>
                </m:rPr>
                <w:rPr>
                  <w:rFonts w:hint="eastAsia" w:ascii="Cambria Math" w:hAnsi="Cambria Math" w:eastAsia="仿宋" w:cs="仿宋"/>
                  <w:sz w:val="30"/>
                  <w:szCs w:val="30"/>
                </w:rPr>
                <m:t>学期</m:t>
              </m:r>
              <m:d>
                <m:dPr>
                  <m:begChr m:val="（"/>
                  <m:endChr m:val="）"/>
                  <m:ctrlPr>
                    <w:rPr>
                      <w:rFonts w:hint="eastAsia" w:ascii="Cambria Math" w:hAnsi="Cambria Math" w:eastAsia="仿宋" w:cs="仿宋"/>
                      <w:sz w:val="30"/>
                      <w:szCs w:val="30"/>
                    </w:rPr>
                  </m:ctrlPr>
                </m:dPr>
                <m:e>
                  <m:r>
                    <m:rPr>
                      <m:sty m:val="p"/>
                    </m:rPr>
                    <w:rPr>
                      <w:rFonts w:hint="eastAsia" w:ascii="Cambria Math" w:hAnsi="Cambria Math" w:eastAsia="仿宋" w:cs="仿宋"/>
                      <w:sz w:val="30"/>
                      <w:szCs w:val="30"/>
                    </w:rPr>
                    <m:t>或学年</m:t>
                  </m:r>
                  <m:ctrlPr>
                    <w:rPr>
                      <w:rFonts w:hint="eastAsia" w:ascii="Cambria Math" w:hAnsi="Cambria Math" w:eastAsia="仿宋" w:cs="仿宋"/>
                      <w:sz w:val="30"/>
                      <w:szCs w:val="30"/>
                    </w:rPr>
                  </m:ctrlPr>
                </m:e>
              </m:d>
              <m:r>
                <m:rPr>
                  <m:sty m:val="p"/>
                </m:rPr>
                <w:rPr>
                  <w:rFonts w:hint="eastAsia" w:ascii="Cambria Math" w:hAnsi="Cambria Math" w:eastAsia="仿宋" w:cs="仿宋"/>
                  <w:sz w:val="30"/>
                  <w:szCs w:val="30"/>
                </w:rPr>
                <m:t>所修各门课程学分绩点之和</m:t>
              </m:r>
              <m:ctrlPr>
                <w:rPr>
                  <w:rFonts w:hint="eastAsia" w:ascii="Cambria Math" w:hAnsi="Cambria Math" w:eastAsia="仿宋" w:cs="仿宋"/>
                  <w:sz w:val="30"/>
                  <w:szCs w:val="30"/>
                </w:rPr>
              </m:ctrlPr>
            </m:num>
            <m:den>
              <m:r>
                <m:rPr>
                  <m:sty m:val="p"/>
                </m:rPr>
                <w:rPr>
                  <w:rFonts w:hint="eastAsia" w:ascii="Cambria Math" w:hAnsi="Cambria Math" w:eastAsia="仿宋" w:cs="仿宋"/>
                  <w:sz w:val="30"/>
                  <w:szCs w:val="30"/>
                </w:rPr>
                <m:t>该学期</m:t>
              </m:r>
              <m:d>
                <m:dPr>
                  <m:begChr m:val="（"/>
                  <m:endChr m:val="）"/>
                  <m:ctrlPr>
                    <w:rPr>
                      <w:rFonts w:hint="eastAsia" w:ascii="Cambria Math" w:hAnsi="Cambria Math" w:eastAsia="仿宋" w:cs="仿宋"/>
                      <w:sz w:val="30"/>
                      <w:szCs w:val="30"/>
                    </w:rPr>
                  </m:ctrlPr>
                </m:dPr>
                <m:e>
                  <m:r>
                    <m:rPr>
                      <m:sty m:val="p"/>
                    </m:rPr>
                    <w:rPr>
                      <w:rFonts w:hint="eastAsia" w:ascii="Cambria Math" w:hAnsi="Cambria Math" w:eastAsia="仿宋" w:cs="仿宋"/>
                      <w:sz w:val="30"/>
                      <w:szCs w:val="30"/>
                    </w:rPr>
                    <m:t>或学年</m:t>
                  </m:r>
                  <m:ctrlPr>
                    <w:rPr>
                      <w:rFonts w:hint="eastAsia" w:ascii="Cambria Math" w:hAnsi="Cambria Math" w:eastAsia="仿宋" w:cs="仿宋"/>
                      <w:sz w:val="30"/>
                      <w:szCs w:val="30"/>
                    </w:rPr>
                  </m:ctrlPr>
                </m:e>
              </m:d>
              <m:r>
                <m:rPr>
                  <m:sty m:val="p"/>
                </m:rPr>
                <w:rPr>
                  <w:rFonts w:hint="eastAsia" w:ascii="Cambria Math" w:hAnsi="Cambria Math" w:eastAsia="仿宋" w:cs="仿宋"/>
                  <w:sz w:val="30"/>
                  <w:szCs w:val="30"/>
                </w:rPr>
                <m:t>各课程计划应得学分之和</m:t>
              </m:r>
              <m:ctrlPr>
                <w:rPr>
                  <w:rFonts w:hint="eastAsia" w:ascii="Cambria Math" w:hAnsi="Cambria Math" w:eastAsia="仿宋" w:cs="仿宋"/>
                  <w:sz w:val="30"/>
                  <w:szCs w:val="30"/>
                </w:rPr>
              </m:ctrlPr>
            </m:den>
          </m:f>
        </m:oMath>
      </m:oMathPara>
    </w:p>
    <w:p>
      <w:pPr>
        <w:adjustRightInd w:val="0"/>
        <w:snapToGrid w:val="0"/>
        <w:spacing w:line="360" w:lineRule="auto"/>
        <w:ind w:firstLine="683" w:firstLineChars="228"/>
        <w:rPr>
          <w:rFonts w:ascii="仿宋" w:hAnsi="仿宋" w:eastAsia="仿宋" w:cs="仿宋"/>
          <w:sz w:val="30"/>
          <w:szCs w:val="30"/>
        </w:rPr>
      </w:pPr>
      <w:r>
        <w:rPr>
          <w:rFonts w:hint="eastAsia" w:ascii="仿宋" w:hAnsi="仿宋" w:eastAsia="仿宋" w:cs="仿宋"/>
          <w:sz w:val="30"/>
          <w:szCs w:val="30"/>
        </w:rPr>
        <w:t>第八条 专业人才培养方案额定总学分一般不低于138学分，其中公共平台课程37学分左右（含大学生职业生涯规划与就业指导2学分），素质教育类课程9学分，专业类课程56学分左右，专项能力训练课程（含军训2学分）36学分左右。半年期顶岗实习专业可根据专业人才培养方案制定情况统筹考虑。</w:t>
      </w:r>
    </w:p>
    <w:p>
      <w:pPr>
        <w:adjustRightInd w:val="0"/>
        <w:snapToGrid w:val="0"/>
        <w:spacing w:line="360" w:lineRule="auto"/>
        <w:ind w:firstLine="600" w:firstLineChars="200"/>
        <w:rPr>
          <w:rFonts w:ascii="仿宋" w:hAnsi="仿宋" w:eastAsia="仿宋" w:cs="仿宋"/>
          <w:b/>
          <w:bCs/>
          <w:sz w:val="30"/>
          <w:szCs w:val="30"/>
        </w:rPr>
      </w:pPr>
      <w:r>
        <w:rPr>
          <w:rFonts w:hint="eastAsia" w:ascii="仿宋" w:hAnsi="仿宋" w:eastAsia="仿宋" w:cs="仿宋"/>
          <w:sz w:val="30"/>
          <w:szCs w:val="30"/>
        </w:rPr>
        <w:t>各专业可在培养方案中根据专业特点和教学改革需要，适当调整</w:t>
      </w:r>
      <w:r>
        <w:rPr>
          <w:rFonts w:hint="eastAsia" w:ascii="仿宋" w:hAnsi="仿宋" w:eastAsia="仿宋" w:cs="仿宋"/>
          <w:sz w:val="30"/>
          <w:szCs w:val="30"/>
          <w:lang w:eastAsia="zh-CN"/>
        </w:rPr>
        <w:t>本</w:t>
      </w:r>
      <w:r>
        <w:rPr>
          <w:rFonts w:hint="eastAsia" w:ascii="仿宋" w:hAnsi="仿宋" w:eastAsia="仿宋" w:cs="仿宋"/>
          <w:sz w:val="30"/>
          <w:szCs w:val="30"/>
        </w:rPr>
        <w:t>款额定学分的具体标准。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第九条 学生必须参加专业人才培养方案规定的必修课、限定选修课和本人选定的任意选修课的考核。课程按课程代码计算课程门数与取得成绩。课程考核合格即获得规定的该课程学分。每门课程的考核成绩、学分、绩点均记入学生的学籍档案，学籍档案一式两份，学生毕业时一份归入本人档案，一份存学校档案馆。学籍卡中真实、完整地记载学生学业成绩，对通过补考、重新学习获得的成绩，均如实予以标注。若未经核准自行听课的课程，不得参加考试，不能取得学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第十条 学生对学习成绩及结业结论有异议的可提出申诉，按《无锡职业技术学院教学管理学生申诉办法》执行。</w:t>
      </w:r>
    </w:p>
    <w:p>
      <w:pPr>
        <w:adjustRightInd w:val="0"/>
        <w:snapToGrid w:val="0"/>
        <w:spacing w:line="360" w:lineRule="auto"/>
        <w:ind w:firstLine="602" w:firstLineChars="200"/>
        <w:jc w:val="center"/>
        <w:rPr>
          <w:rFonts w:ascii="仿宋" w:hAnsi="仿宋" w:eastAsia="仿宋" w:cs="仿宋"/>
          <w:b/>
          <w:bCs/>
          <w:spacing w:val="80"/>
          <w:sz w:val="30"/>
          <w:szCs w:val="30"/>
        </w:rPr>
      </w:pPr>
      <w:r>
        <w:rPr>
          <w:rFonts w:hint="eastAsia" w:ascii="仿宋" w:hAnsi="仿宋" w:eastAsia="仿宋" w:cs="仿宋"/>
          <w:b/>
          <w:bCs/>
          <w:sz w:val="30"/>
          <w:szCs w:val="30"/>
        </w:rPr>
        <w:t>第三章 选课制度</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第十一条  选课原则</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（一）培养目标与本人发展方向相符合；</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（二）具备先修课程条件；</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（三）先必修课，后选修课；</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（四）学校客观条件允许；</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（五）不足25人的课程不开班，由教务处会同各教学业务部门通知报该课程的学生改选其它课程；</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（六）跨专业选课须经开课教学部门批准。</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第十二条  文化、艺术等素质教育选修课自由选取，在教师指导下按单课选课。</w:t>
      </w:r>
    </w:p>
    <w:p>
      <w:pPr>
        <w:adjustRightInd w:val="0"/>
        <w:snapToGrid w:val="0"/>
        <w:spacing w:line="360" w:lineRule="auto"/>
        <w:ind w:firstLine="602" w:firstLineChars="200"/>
        <w:jc w:val="center"/>
        <w:rPr>
          <w:rFonts w:ascii="仿宋" w:hAnsi="仿宋" w:eastAsia="仿宋" w:cs="仿宋"/>
          <w:b/>
          <w:bCs/>
          <w:strike/>
          <w:sz w:val="30"/>
          <w:szCs w:val="30"/>
        </w:rPr>
      </w:pPr>
      <w:r>
        <w:rPr>
          <w:rFonts w:hint="eastAsia" w:ascii="仿宋" w:hAnsi="仿宋" w:eastAsia="仿宋" w:cs="仿宋"/>
          <w:b/>
          <w:bCs/>
          <w:sz w:val="30"/>
          <w:szCs w:val="30"/>
        </w:rPr>
        <w:t>第四章 免修</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第十三条  关于课程免修</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（一）以下几种情况可申请课程免修：</w:t>
      </w:r>
    </w:p>
    <w:p>
      <w:pPr>
        <w:adjustRightInd w:val="0"/>
        <w:snapToGrid w:val="0"/>
        <w:spacing w:line="360" w:lineRule="auto"/>
        <w:ind w:firstLine="786" w:firstLineChars="262"/>
        <w:rPr>
          <w:rFonts w:ascii="仿宋" w:hAnsi="仿宋" w:eastAsia="仿宋" w:cs="仿宋"/>
          <w:sz w:val="30"/>
          <w:szCs w:val="30"/>
        </w:rPr>
      </w:pPr>
      <w:r>
        <w:rPr>
          <w:rFonts w:hint="eastAsia" w:ascii="仿宋" w:hAnsi="仿宋" w:eastAsia="仿宋" w:cs="仿宋"/>
          <w:sz w:val="30"/>
          <w:szCs w:val="30"/>
        </w:rPr>
        <w:t>1.降级重修学生已修课程且成绩合格的；</w:t>
      </w:r>
    </w:p>
    <w:p>
      <w:pPr>
        <w:adjustRightInd w:val="0"/>
        <w:snapToGrid w:val="0"/>
        <w:spacing w:line="360" w:lineRule="auto"/>
        <w:ind w:firstLine="786" w:firstLineChars="262"/>
        <w:rPr>
          <w:rFonts w:ascii="仿宋" w:hAnsi="仿宋" w:eastAsia="仿宋" w:cs="仿宋"/>
          <w:sz w:val="30"/>
          <w:szCs w:val="30"/>
        </w:rPr>
      </w:pPr>
      <w:r>
        <w:rPr>
          <w:rFonts w:hint="eastAsia" w:ascii="仿宋" w:hAnsi="仿宋" w:eastAsia="仿宋" w:cs="仿宋"/>
          <w:sz w:val="30"/>
          <w:szCs w:val="30"/>
        </w:rPr>
        <w:t>2.各类学籍处理学生（含休学复学、转专业）已修课程且成绩合格的；</w:t>
      </w:r>
    </w:p>
    <w:p>
      <w:pPr>
        <w:adjustRightInd w:val="0"/>
        <w:snapToGrid w:val="0"/>
        <w:spacing w:line="360" w:lineRule="auto"/>
        <w:ind w:firstLine="786" w:firstLineChars="262"/>
        <w:rPr>
          <w:rFonts w:ascii="仿宋" w:hAnsi="仿宋" w:eastAsia="仿宋" w:cs="仿宋"/>
          <w:sz w:val="30"/>
          <w:szCs w:val="30"/>
        </w:rPr>
      </w:pPr>
      <w:r>
        <w:rPr>
          <w:rFonts w:hint="eastAsia" w:ascii="仿宋" w:hAnsi="仿宋" w:eastAsia="仿宋" w:cs="仿宋"/>
          <w:sz w:val="30"/>
          <w:szCs w:val="30"/>
        </w:rPr>
        <w:t>3.退伍复学学生免修政策具体见《无锡职业技术学院应征入伍学生学籍管理及优待奖励规定》。</w:t>
      </w:r>
    </w:p>
    <w:p>
      <w:pPr>
        <w:adjustRightInd w:val="0"/>
        <w:snapToGrid w:val="0"/>
        <w:spacing w:line="360" w:lineRule="auto"/>
        <w:ind w:firstLine="786" w:firstLineChars="262"/>
        <w:rPr>
          <w:rFonts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思想政治理论课</w:t>
      </w:r>
      <w:r>
        <w:rPr>
          <w:rFonts w:hint="eastAsia" w:ascii="仿宋" w:hAnsi="仿宋" w:eastAsia="仿宋" w:cs="仿宋"/>
          <w:sz w:val="30"/>
          <w:szCs w:val="30"/>
        </w:rPr>
        <w:t>、体育课、军训、毕业设计（论文）、毕业实践等教学环节一般不能申请免修。</w:t>
      </w:r>
    </w:p>
    <w:p>
      <w:pPr>
        <w:adjustRightInd w:val="0"/>
        <w:snapToGrid w:val="0"/>
        <w:spacing w:line="360" w:lineRule="auto"/>
        <w:ind w:firstLine="786" w:firstLineChars="262"/>
        <w:rPr>
          <w:rFonts w:ascii="仿宋" w:hAnsi="仿宋" w:eastAsia="仿宋" w:cs="仿宋"/>
          <w:sz w:val="30"/>
          <w:szCs w:val="30"/>
        </w:rPr>
      </w:pPr>
      <w:r>
        <w:rPr>
          <w:rFonts w:hint="eastAsia" w:ascii="仿宋" w:hAnsi="仿宋" w:eastAsia="仿宋" w:cs="仿宋"/>
          <w:sz w:val="30"/>
          <w:szCs w:val="30"/>
        </w:rPr>
        <w:t>（三）课程免修手续原则上应在学期课程开学后4周内办理。</w:t>
      </w:r>
    </w:p>
    <w:p>
      <w:pPr>
        <w:adjustRightInd w:val="0"/>
        <w:snapToGrid w:val="0"/>
        <w:spacing w:line="360" w:lineRule="auto"/>
        <w:ind w:firstLine="786" w:firstLineChars="262"/>
        <w:rPr>
          <w:rFonts w:ascii="仿宋" w:hAnsi="仿宋" w:eastAsia="仿宋" w:cs="仿宋"/>
          <w:sz w:val="30"/>
          <w:szCs w:val="30"/>
        </w:rPr>
      </w:pPr>
      <w:r>
        <w:rPr>
          <w:rFonts w:hint="eastAsia" w:ascii="仿宋" w:hAnsi="仿宋" w:eastAsia="仿宋" w:cs="仿宋"/>
          <w:sz w:val="30"/>
          <w:szCs w:val="30"/>
        </w:rPr>
        <w:t>（四）学生因身患疾病或生理原因，不能按专业教学计划修学体育课，可由本人提出申请，并提供学校指定的医疗单位（二级甲等及以上）证明，经学校医务室核定，体育部同意，编入体育保健班学习。</w:t>
      </w:r>
    </w:p>
    <w:p>
      <w:pPr>
        <w:adjustRightInd w:val="0"/>
        <w:snapToGrid w:val="0"/>
        <w:spacing w:line="360" w:lineRule="auto"/>
        <w:ind w:left="200" w:firstLine="602" w:firstLineChars="200"/>
        <w:jc w:val="center"/>
        <w:rPr>
          <w:rFonts w:ascii="仿宋" w:hAnsi="仿宋" w:eastAsia="仿宋" w:cs="仿宋"/>
          <w:b/>
          <w:bCs/>
          <w:sz w:val="30"/>
          <w:szCs w:val="30"/>
        </w:rPr>
      </w:pPr>
      <w:r>
        <w:rPr>
          <w:rFonts w:hint="eastAsia" w:ascii="仿宋" w:hAnsi="仿宋" w:eastAsia="仿宋" w:cs="仿宋"/>
          <w:b/>
          <w:bCs/>
          <w:sz w:val="30"/>
          <w:szCs w:val="30"/>
        </w:rPr>
        <w:t>第五章 缓考和重新学习</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第十五条  学生因病或特殊原因不能按时参加考试，需在该课程考试前持有效证明（因病须持二级甲等及以上医院证明）申请缓考，经班主任（或年级辅导员）核实，由学生所在学院及课程所属部门批准，教务处审批。经批准缓考的学生，其课程成绩由任课教师以“缓考”录入。与学期补考的学生一起参加课程考核，课程考试成绩原则上以实际成绩计入补考成绩，并取得相应学分；缓考不及格的，不再安排补考，报名参加重新学习。</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第十六条  重新学习课程无补考，但重新学习次数不限。原则上重新学习课程参加教学部门单独开设的重新学习班或采取定期辅导、答疑等方式。</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第十七条  课程考试作弊、旷考、违反考场纪律，除给予纪律处分外，该课程成绩标以“作弊”“旷考”，并不得参加学期补考，必须报名参加重新学习。</w:t>
      </w:r>
    </w:p>
    <w:p>
      <w:pPr>
        <w:pStyle w:val="4"/>
        <w:adjustRightInd w:val="0"/>
        <w:snapToGrid w:val="0"/>
        <w:spacing w:line="360" w:lineRule="auto"/>
        <w:ind w:firstLine="600" w:firstLineChars="200"/>
        <w:rPr>
          <w:rFonts w:hint="default" w:ascii="仿宋" w:hAnsi="仿宋" w:eastAsia="仿宋" w:cs="仿宋"/>
          <w:color w:val="auto"/>
          <w:sz w:val="30"/>
          <w:szCs w:val="30"/>
        </w:rPr>
      </w:pPr>
      <w:r>
        <w:rPr>
          <w:rFonts w:ascii="仿宋" w:hAnsi="仿宋" w:eastAsia="仿宋" w:cs="仿宋"/>
          <w:sz w:val="30"/>
          <w:szCs w:val="30"/>
        </w:rPr>
        <w:t>第十八条  文化素质教育选修课不实行补考，但可以重新学习，也可另行选修其它课程取得规定的学</w:t>
      </w:r>
      <w:r>
        <w:rPr>
          <w:rFonts w:ascii="仿宋" w:hAnsi="仿宋" w:eastAsia="仿宋" w:cs="仿宋"/>
          <w:color w:val="auto"/>
          <w:sz w:val="30"/>
          <w:szCs w:val="30"/>
        </w:rPr>
        <w:t>分数。</w:t>
      </w:r>
    </w:p>
    <w:p>
      <w:pPr>
        <w:adjustRightInd w:val="0"/>
        <w:snapToGrid w:val="0"/>
        <w:spacing w:line="360" w:lineRule="auto"/>
        <w:ind w:left="200" w:firstLine="602" w:firstLineChars="200"/>
        <w:jc w:val="center"/>
        <w:rPr>
          <w:rFonts w:ascii="仿宋" w:hAnsi="仿宋" w:eastAsia="仿宋" w:cs="仿宋"/>
          <w:b/>
          <w:bCs/>
          <w:color w:val="auto"/>
          <w:spacing w:val="80"/>
          <w:sz w:val="30"/>
          <w:szCs w:val="30"/>
        </w:rPr>
      </w:pPr>
      <w:r>
        <w:rPr>
          <w:rFonts w:hint="eastAsia" w:ascii="仿宋" w:hAnsi="仿宋" w:eastAsia="仿宋" w:cs="仿宋"/>
          <w:b/>
          <w:bCs/>
          <w:color w:val="auto"/>
          <w:sz w:val="30"/>
          <w:szCs w:val="30"/>
        </w:rPr>
        <w:t>第六章 毕业年限</w:t>
      </w:r>
    </w:p>
    <w:p>
      <w:pPr>
        <w:adjustRightInd w:val="0"/>
        <w:snapToGrid w:val="0"/>
        <w:spacing w:line="360" w:lineRule="auto"/>
        <w:ind w:left="200" w:firstLine="600" w:firstLineChars="200"/>
        <w:rPr>
          <w:rFonts w:ascii="仿宋" w:hAnsi="仿宋" w:eastAsia="仿宋" w:cs="仿宋"/>
          <w:strike/>
          <w:color w:val="auto"/>
          <w:sz w:val="30"/>
          <w:szCs w:val="30"/>
        </w:rPr>
      </w:pPr>
      <w:r>
        <w:rPr>
          <w:rFonts w:hint="eastAsia" w:ascii="仿宋" w:hAnsi="仿宋" w:eastAsia="仿宋" w:cs="仿宋"/>
          <w:color w:val="auto"/>
          <w:sz w:val="30"/>
          <w:szCs w:val="30"/>
        </w:rPr>
        <w:t>第十九条  学生难以达到毕业要求的可申请延长学习时间，累计学习时间应不超过学习年限（三年制专科不超过六年）。学生在规定学制内取得专业人才培养方案各类额定学分者可以毕业，发放毕业证书。</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 xml:space="preserve">第二十条  提前毕业  </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（一）三年制的学生在三年以内提前通过人才培养方案规定的课程，并达到或超过规定学分的学生，可在学校辅修第二专业，或经学校批准后提前参加社会实践、实习。</w:t>
      </w:r>
    </w:p>
    <w:p>
      <w:pPr>
        <w:adjustRightInd w:val="0"/>
        <w:snapToGrid w:val="0"/>
        <w:spacing w:line="360" w:lineRule="auto"/>
        <w:ind w:left="200" w:firstLine="600" w:firstLineChars="200"/>
        <w:rPr>
          <w:rFonts w:ascii="仿宋" w:hAnsi="仿宋" w:eastAsia="仿宋" w:cs="仿宋"/>
          <w:sz w:val="30"/>
          <w:szCs w:val="30"/>
        </w:rPr>
      </w:pPr>
      <w:r>
        <w:rPr>
          <w:rFonts w:hint="eastAsia" w:ascii="仿宋" w:hAnsi="仿宋" w:eastAsia="仿宋" w:cs="仿宋"/>
          <w:sz w:val="30"/>
          <w:szCs w:val="30"/>
        </w:rPr>
        <w:t>（二）需提前毕业的学生须本人申请，经班主任（或年级辅导员）推荐，学生所在学院、教务处审定，报校长办公会议讨论通过，方准予提前毕业。</w:t>
      </w:r>
    </w:p>
    <w:p>
      <w:pPr>
        <w:adjustRightInd w:val="0"/>
        <w:snapToGrid w:val="0"/>
        <w:spacing w:line="360" w:lineRule="auto"/>
        <w:ind w:left="200" w:firstLine="600" w:firstLineChars="200"/>
        <w:rPr>
          <w:rFonts w:ascii="仿宋" w:hAnsi="仿宋" w:eastAsia="仿宋" w:cs="仿宋"/>
          <w:spacing w:val="-22"/>
          <w:sz w:val="30"/>
          <w:szCs w:val="30"/>
        </w:rPr>
      </w:pPr>
      <w:r>
        <w:rPr>
          <w:rFonts w:hint="eastAsia" w:ascii="仿宋" w:hAnsi="仿宋" w:eastAsia="仿宋" w:cs="仿宋"/>
          <w:sz w:val="30"/>
          <w:szCs w:val="30"/>
        </w:rPr>
        <w:t>（三）提前毕业学生的毕业证书等按江苏省教育厅规定的发证时间办理。</w:t>
      </w:r>
    </w:p>
    <w:p>
      <w:pPr>
        <w:pStyle w:val="4"/>
        <w:adjustRightInd w:val="0"/>
        <w:snapToGrid w:val="0"/>
        <w:spacing w:line="360" w:lineRule="auto"/>
        <w:ind w:left="198" w:firstLine="602" w:firstLineChars="200"/>
        <w:jc w:val="center"/>
        <w:rPr>
          <w:rFonts w:hint="default" w:ascii="仿宋" w:hAnsi="仿宋" w:eastAsia="仿宋" w:cs="仿宋"/>
          <w:b/>
          <w:bCs/>
          <w:sz w:val="30"/>
          <w:szCs w:val="30"/>
        </w:rPr>
      </w:pPr>
      <w:r>
        <w:rPr>
          <w:rFonts w:ascii="仿宋" w:hAnsi="仿宋" w:eastAsia="仿宋" w:cs="仿宋"/>
          <w:b/>
          <w:bCs/>
          <w:sz w:val="30"/>
          <w:szCs w:val="30"/>
        </w:rPr>
        <w:t>第七章 附则</w:t>
      </w:r>
    </w:p>
    <w:p>
      <w:pPr>
        <w:pStyle w:val="4"/>
        <w:adjustRightInd w:val="0"/>
        <w:snapToGrid w:val="0"/>
        <w:spacing w:line="360" w:lineRule="auto"/>
        <w:ind w:left="198" w:firstLine="600" w:firstLineChars="200"/>
        <w:rPr>
          <w:rFonts w:hint="default" w:ascii="仿宋" w:hAnsi="仿宋" w:eastAsia="仿宋" w:cs="仿宋"/>
          <w:color w:val="auto"/>
          <w:sz w:val="30"/>
          <w:szCs w:val="30"/>
        </w:rPr>
      </w:pPr>
      <w:r>
        <w:rPr>
          <w:rFonts w:ascii="仿宋" w:hAnsi="仿宋" w:eastAsia="仿宋" w:cs="仿宋"/>
          <w:color w:val="auto"/>
          <w:sz w:val="30"/>
          <w:szCs w:val="30"/>
        </w:rPr>
        <w:t>第二十一条  本办法适用于学校全日制高职专科生。</w:t>
      </w:r>
    </w:p>
    <w:p>
      <w:pPr>
        <w:pStyle w:val="4"/>
        <w:adjustRightInd w:val="0"/>
        <w:snapToGrid w:val="0"/>
        <w:spacing w:line="360" w:lineRule="auto"/>
        <w:ind w:left="198" w:firstLine="600" w:firstLineChars="200"/>
        <w:rPr>
          <w:rFonts w:hint="default" w:ascii="仿宋" w:hAnsi="仿宋" w:eastAsia="仿宋" w:cs="仿宋"/>
          <w:color w:val="auto"/>
          <w:sz w:val="30"/>
          <w:szCs w:val="30"/>
        </w:rPr>
      </w:pPr>
      <w:r>
        <w:rPr>
          <w:rFonts w:ascii="仿宋" w:hAnsi="仿宋" w:eastAsia="仿宋" w:cs="仿宋"/>
          <w:color w:val="auto"/>
          <w:sz w:val="30"/>
          <w:szCs w:val="30"/>
        </w:rPr>
        <w:t>第二十二条  本办法所称以上及以下均包括本数。</w:t>
      </w:r>
    </w:p>
    <w:p>
      <w:pPr>
        <w:pStyle w:val="4"/>
        <w:adjustRightInd w:val="0"/>
        <w:snapToGrid w:val="0"/>
        <w:spacing w:line="360" w:lineRule="auto"/>
        <w:ind w:left="198" w:firstLine="600" w:firstLineChars="200"/>
        <w:rPr>
          <w:rFonts w:hint="default" w:ascii="仿宋" w:hAnsi="仿宋" w:eastAsia="仿宋" w:cs="仿宋"/>
          <w:sz w:val="30"/>
          <w:szCs w:val="30"/>
        </w:rPr>
      </w:pPr>
      <w:r>
        <w:rPr>
          <w:rFonts w:ascii="仿宋" w:hAnsi="仿宋" w:eastAsia="仿宋" w:cs="仿宋"/>
          <w:color w:val="auto"/>
          <w:sz w:val="30"/>
          <w:szCs w:val="30"/>
        </w:rPr>
        <w:t>第二十三条  本办法自颁布之日起执行，由教务处负责解释。</w:t>
      </w:r>
      <w:r>
        <w:rPr>
          <w:rFonts w:ascii="仿宋" w:hAnsi="仿宋" w:eastAsia="仿宋" w:cs="仿宋"/>
          <w:sz w:val="30"/>
          <w:szCs w:val="30"/>
        </w:rPr>
        <w:t xml:space="preserve">                               </w:t>
      </w:r>
    </w:p>
    <w:bookmarkEnd w:id="0"/>
    <w:p>
      <w:pPr>
        <w:wordWrap w:val="0"/>
        <w:adjustRightInd w:val="0"/>
        <w:snapToGrid w:val="0"/>
        <w:spacing w:line="360" w:lineRule="auto"/>
        <w:ind w:firstLine="600" w:firstLineChars="200"/>
        <w:jc w:val="right"/>
        <w:rPr>
          <w:rFonts w:ascii="仿宋" w:hAnsi="仿宋" w:eastAsia="仿宋" w:cs="仿宋"/>
          <w:bCs/>
          <w:sz w:val="30"/>
          <w:szCs w:val="30"/>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7</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7F"/>
    <w:rsid w:val="0000264D"/>
    <w:rsid w:val="000073F6"/>
    <w:rsid w:val="00011344"/>
    <w:rsid w:val="00037A24"/>
    <w:rsid w:val="00067ABA"/>
    <w:rsid w:val="00081291"/>
    <w:rsid w:val="000979D5"/>
    <w:rsid w:val="000B4288"/>
    <w:rsid w:val="000D0113"/>
    <w:rsid w:val="000E1D49"/>
    <w:rsid w:val="000F766D"/>
    <w:rsid w:val="00107219"/>
    <w:rsid w:val="001167E5"/>
    <w:rsid w:val="00143105"/>
    <w:rsid w:val="00162677"/>
    <w:rsid w:val="00175A9F"/>
    <w:rsid w:val="00194BB1"/>
    <w:rsid w:val="001A48DE"/>
    <w:rsid w:val="001F303F"/>
    <w:rsid w:val="001F7482"/>
    <w:rsid w:val="0020772F"/>
    <w:rsid w:val="00225681"/>
    <w:rsid w:val="00240ABF"/>
    <w:rsid w:val="00287246"/>
    <w:rsid w:val="002901AB"/>
    <w:rsid w:val="002A228D"/>
    <w:rsid w:val="002B68A4"/>
    <w:rsid w:val="002C059A"/>
    <w:rsid w:val="002F2878"/>
    <w:rsid w:val="00337579"/>
    <w:rsid w:val="00346656"/>
    <w:rsid w:val="00395DA0"/>
    <w:rsid w:val="003B4E2D"/>
    <w:rsid w:val="003C7310"/>
    <w:rsid w:val="003F367F"/>
    <w:rsid w:val="003F3792"/>
    <w:rsid w:val="0041720C"/>
    <w:rsid w:val="004477B2"/>
    <w:rsid w:val="004846EA"/>
    <w:rsid w:val="00490DCA"/>
    <w:rsid w:val="004B3BDE"/>
    <w:rsid w:val="004B52E4"/>
    <w:rsid w:val="004B7B2A"/>
    <w:rsid w:val="004F3C13"/>
    <w:rsid w:val="00526F4D"/>
    <w:rsid w:val="005365E3"/>
    <w:rsid w:val="0054581E"/>
    <w:rsid w:val="005753EA"/>
    <w:rsid w:val="00586F33"/>
    <w:rsid w:val="005D3E24"/>
    <w:rsid w:val="005E2CD2"/>
    <w:rsid w:val="00601EE5"/>
    <w:rsid w:val="0061678F"/>
    <w:rsid w:val="0063636B"/>
    <w:rsid w:val="006568CA"/>
    <w:rsid w:val="00695B17"/>
    <w:rsid w:val="006C369C"/>
    <w:rsid w:val="006E0402"/>
    <w:rsid w:val="006F4226"/>
    <w:rsid w:val="007047D0"/>
    <w:rsid w:val="00710299"/>
    <w:rsid w:val="00713C21"/>
    <w:rsid w:val="007330A7"/>
    <w:rsid w:val="00734539"/>
    <w:rsid w:val="00752802"/>
    <w:rsid w:val="00756D27"/>
    <w:rsid w:val="00760F81"/>
    <w:rsid w:val="007872DE"/>
    <w:rsid w:val="0079511F"/>
    <w:rsid w:val="007A6E9C"/>
    <w:rsid w:val="007C0F84"/>
    <w:rsid w:val="007C4E25"/>
    <w:rsid w:val="007E16C4"/>
    <w:rsid w:val="007F01CF"/>
    <w:rsid w:val="0081371D"/>
    <w:rsid w:val="00822726"/>
    <w:rsid w:val="00892A40"/>
    <w:rsid w:val="0089494F"/>
    <w:rsid w:val="008B2797"/>
    <w:rsid w:val="008E0132"/>
    <w:rsid w:val="008E5406"/>
    <w:rsid w:val="008F187F"/>
    <w:rsid w:val="008F1ECF"/>
    <w:rsid w:val="008F345E"/>
    <w:rsid w:val="008F4273"/>
    <w:rsid w:val="00900B49"/>
    <w:rsid w:val="0090584F"/>
    <w:rsid w:val="00932FFF"/>
    <w:rsid w:val="00964DE0"/>
    <w:rsid w:val="00991CFE"/>
    <w:rsid w:val="009A0647"/>
    <w:rsid w:val="009A4AF0"/>
    <w:rsid w:val="009E39F9"/>
    <w:rsid w:val="009E4581"/>
    <w:rsid w:val="00A3554E"/>
    <w:rsid w:val="00A54BE3"/>
    <w:rsid w:val="00A61FE5"/>
    <w:rsid w:val="00A7415E"/>
    <w:rsid w:val="00A754E6"/>
    <w:rsid w:val="00A955E4"/>
    <w:rsid w:val="00AB06B7"/>
    <w:rsid w:val="00AD68B8"/>
    <w:rsid w:val="00AE237F"/>
    <w:rsid w:val="00AE24E5"/>
    <w:rsid w:val="00B215F7"/>
    <w:rsid w:val="00B26AAF"/>
    <w:rsid w:val="00B40B34"/>
    <w:rsid w:val="00B42BD3"/>
    <w:rsid w:val="00B60745"/>
    <w:rsid w:val="00B70A21"/>
    <w:rsid w:val="00B81D41"/>
    <w:rsid w:val="00B85E3C"/>
    <w:rsid w:val="00B97E40"/>
    <w:rsid w:val="00BA62C8"/>
    <w:rsid w:val="00BB0DD6"/>
    <w:rsid w:val="00BB3E43"/>
    <w:rsid w:val="00BC2DB7"/>
    <w:rsid w:val="00BD229B"/>
    <w:rsid w:val="00BD3D08"/>
    <w:rsid w:val="00BE6CDE"/>
    <w:rsid w:val="00BE70FE"/>
    <w:rsid w:val="00C007A5"/>
    <w:rsid w:val="00C02898"/>
    <w:rsid w:val="00C140DD"/>
    <w:rsid w:val="00C14123"/>
    <w:rsid w:val="00C2073C"/>
    <w:rsid w:val="00C224C6"/>
    <w:rsid w:val="00C435AF"/>
    <w:rsid w:val="00C74FA1"/>
    <w:rsid w:val="00CA412C"/>
    <w:rsid w:val="00CC26C4"/>
    <w:rsid w:val="00CF3712"/>
    <w:rsid w:val="00D02429"/>
    <w:rsid w:val="00D04C97"/>
    <w:rsid w:val="00D12429"/>
    <w:rsid w:val="00D24B56"/>
    <w:rsid w:val="00D26DFE"/>
    <w:rsid w:val="00D830C3"/>
    <w:rsid w:val="00DC28AB"/>
    <w:rsid w:val="00DC500F"/>
    <w:rsid w:val="00DE22DF"/>
    <w:rsid w:val="00E06C14"/>
    <w:rsid w:val="00E376D3"/>
    <w:rsid w:val="00E4242D"/>
    <w:rsid w:val="00E46156"/>
    <w:rsid w:val="00E5782B"/>
    <w:rsid w:val="00E57C96"/>
    <w:rsid w:val="00EA75EF"/>
    <w:rsid w:val="00EB49B9"/>
    <w:rsid w:val="00EE2C3E"/>
    <w:rsid w:val="00EF4606"/>
    <w:rsid w:val="00F15E6F"/>
    <w:rsid w:val="00F24FAA"/>
    <w:rsid w:val="00F477A2"/>
    <w:rsid w:val="00F607C0"/>
    <w:rsid w:val="00F71474"/>
    <w:rsid w:val="00F96D8A"/>
    <w:rsid w:val="00F96F7E"/>
    <w:rsid w:val="00FA24C9"/>
    <w:rsid w:val="00FB435E"/>
    <w:rsid w:val="00FB4788"/>
    <w:rsid w:val="00FB7DB3"/>
    <w:rsid w:val="00FE13C3"/>
    <w:rsid w:val="00FF5030"/>
    <w:rsid w:val="00FF69D7"/>
    <w:rsid w:val="019F6259"/>
    <w:rsid w:val="0289765F"/>
    <w:rsid w:val="07361333"/>
    <w:rsid w:val="0A4B1BB7"/>
    <w:rsid w:val="0D4F75D2"/>
    <w:rsid w:val="0E302027"/>
    <w:rsid w:val="0FAB75D8"/>
    <w:rsid w:val="0FD943EE"/>
    <w:rsid w:val="102718AA"/>
    <w:rsid w:val="11281229"/>
    <w:rsid w:val="14BE4821"/>
    <w:rsid w:val="16E06264"/>
    <w:rsid w:val="17ED171D"/>
    <w:rsid w:val="18816C3B"/>
    <w:rsid w:val="1DB65AF0"/>
    <w:rsid w:val="22121EEA"/>
    <w:rsid w:val="222F04DB"/>
    <w:rsid w:val="229D1600"/>
    <w:rsid w:val="2C85646E"/>
    <w:rsid w:val="311F41A6"/>
    <w:rsid w:val="313C0D6D"/>
    <w:rsid w:val="320A61AD"/>
    <w:rsid w:val="33855AA4"/>
    <w:rsid w:val="343347DE"/>
    <w:rsid w:val="35A95007"/>
    <w:rsid w:val="41006042"/>
    <w:rsid w:val="423A5432"/>
    <w:rsid w:val="444046FA"/>
    <w:rsid w:val="44720941"/>
    <w:rsid w:val="46E446DF"/>
    <w:rsid w:val="4F650A44"/>
    <w:rsid w:val="53E47BD5"/>
    <w:rsid w:val="55024549"/>
    <w:rsid w:val="56B41C8E"/>
    <w:rsid w:val="58D676B7"/>
    <w:rsid w:val="5A3C4411"/>
    <w:rsid w:val="5BDA362B"/>
    <w:rsid w:val="61A91072"/>
    <w:rsid w:val="622D7F27"/>
    <w:rsid w:val="62542003"/>
    <w:rsid w:val="66E174FE"/>
    <w:rsid w:val="675039C2"/>
    <w:rsid w:val="6A28599B"/>
    <w:rsid w:val="6F0F2F9B"/>
    <w:rsid w:val="70070843"/>
    <w:rsid w:val="7285185A"/>
    <w:rsid w:val="7406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4"/>
    <w:qFormat/>
    <w:uiPriority w:val="0"/>
    <w:pPr>
      <w:spacing w:after="120"/>
    </w:pPr>
  </w:style>
  <w:style w:type="paragraph" w:styleId="4">
    <w:name w:val="Plain Text"/>
    <w:basedOn w:val="1"/>
    <w:qFormat/>
    <w:uiPriority w:val="0"/>
    <w:rPr>
      <w:rFonts w:hint="eastAsia" w:ascii="宋体" w:hAnsi="Courier New" w:cs="Courier New"/>
      <w:szCs w:val="21"/>
    </w:rPr>
  </w:style>
  <w:style w:type="paragraph" w:styleId="5">
    <w:name w:val="Body Text Indent 2"/>
    <w:basedOn w:val="1"/>
    <w:qFormat/>
    <w:uiPriority w:val="0"/>
    <w:pPr>
      <w:autoSpaceDE w:val="0"/>
      <w:autoSpaceDN w:val="0"/>
      <w:adjustRightInd w:val="0"/>
      <w:ind w:firstLine="480" w:firstLineChars="200"/>
      <w:jc w:val="left"/>
    </w:pPr>
    <w:rPr>
      <w:rFonts w:ascii="宋体" w:hAnsi="宋体"/>
      <w:color w:val="FF0000"/>
      <w:sz w:val="24"/>
      <w:szCs w:val="28"/>
    </w:rPr>
  </w:style>
  <w:style w:type="paragraph" w:styleId="6">
    <w:name w:val="Balloon Text"/>
    <w:basedOn w:val="1"/>
    <w:semiHidden/>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character" w:styleId="13">
    <w:name w:val="Strong"/>
    <w:qFormat/>
    <w:uiPriority w:val="0"/>
    <w:rPr>
      <w:b/>
      <w:bCs/>
    </w:rPr>
  </w:style>
  <w:style w:type="character" w:customStyle="1" w:styleId="14">
    <w:name w:val="正文文本 字符"/>
    <w:link w:val="3"/>
    <w:qFormat/>
    <w:uiPriority w:val="0"/>
    <w:rPr>
      <w:kern w:val="2"/>
      <w:sz w:val="21"/>
      <w:szCs w:val="24"/>
    </w:rPr>
  </w:style>
  <w:style w:type="character" w:customStyle="1" w:styleId="15">
    <w:name w:val="页眉 字符"/>
    <w:link w:val="8"/>
    <w:qFormat/>
    <w:uiPriority w:val="0"/>
    <w:rPr>
      <w:kern w:val="2"/>
      <w:sz w:val="18"/>
      <w:szCs w:val="18"/>
    </w:rPr>
  </w:style>
  <w:style w:type="character" w:customStyle="1" w:styleId="16">
    <w:name w:val="页脚 字符"/>
    <w:link w:val="7"/>
    <w:qFormat/>
    <w:uiPriority w:val="99"/>
    <w:rPr>
      <w:kern w:val="2"/>
      <w:sz w:val="18"/>
      <w:szCs w:val="18"/>
    </w:rPr>
  </w:style>
  <w:style w:type="paragraph" w:customStyle="1" w:styleId="17">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622</Words>
  <Characters>3547</Characters>
  <Lines>29</Lines>
  <Paragraphs>8</Paragraphs>
  <TotalTime>2</TotalTime>
  <ScaleCrop>false</ScaleCrop>
  <LinksUpToDate>false</LinksUpToDate>
  <CharactersWithSpaces>4161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2019-09-11T02:49:00Z</dcterms:created>
  <dc:creator>user</dc:creator>
  <cp:lastModifiedBy>勋勋（小胖）</cp:lastModifiedBy>
  <cp:lastPrinted>2021-08-16T13:23:00Z</cp:lastPrinted>
  <dcterms:modified xsi:type="dcterms:W3CDTF">2021-08-28T01:15:06Z</dcterms:modified>
  <dc:title>无锡职业技术学院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B2A8C16A7A054C469C6A664F97338C0C</vt:lpwstr>
  </property>
</Properties>
</file>