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BB" w:rsidRDefault="0019235E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教学大赛集训酒店项目（XJ-</w:t>
      </w:r>
      <w:r w:rsidR="00DA356A">
        <w:rPr>
          <w:rFonts w:ascii="仿宋_GB2312" w:eastAsia="仿宋_GB2312"/>
          <w:b/>
          <w:bCs/>
          <w:color w:val="000000"/>
          <w:sz w:val="30"/>
          <w:szCs w:val="30"/>
        </w:rPr>
        <w:t>JWC-</w:t>
      </w:r>
      <w:r>
        <w:rPr>
          <w:rFonts w:ascii="仿宋_GB2312" w:eastAsia="仿宋_GB2312"/>
          <w:b/>
          <w:bCs/>
          <w:color w:val="000000"/>
          <w:sz w:val="30"/>
          <w:szCs w:val="30"/>
        </w:rPr>
        <w:t>202</w:t>
      </w:r>
      <w:r w:rsidR="00DA356A">
        <w:rPr>
          <w:rFonts w:ascii="仿宋_GB2312" w:eastAsia="仿宋_GB2312"/>
          <w:b/>
          <w:bCs/>
          <w:color w:val="000000"/>
          <w:sz w:val="30"/>
          <w:szCs w:val="30"/>
        </w:rPr>
        <w:t>305</w:t>
      </w:r>
      <w:r>
        <w:rPr>
          <w:rFonts w:ascii="仿宋_GB2312" w:eastAsia="仿宋_GB2312"/>
          <w:b/>
          <w:bCs/>
          <w:color w:val="000000"/>
          <w:sz w:val="30"/>
          <w:szCs w:val="30"/>
        </w:rPr>
        <w:t>-0</w:t>
      </w:r>
      <w:r w:rsidR="006C331A">
        <w:rPr>
          <w:rFonts w:ascii="仿宋_GB2312" w:eastAsia="仿宋_GB2312"/>
          <w:b/>
          <w:bCs/>
          <w:color w:val="000000"/>
          <w:sz w:val="30"/>
          <w:szCs w:val="30"/>
        </w:rPr>
        <w:t>02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3753BB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3753BB" w:rsidRDefault="0019235E" w:rsidP="001F283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 w:rsidR="001F283B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3753BB" w:rsidRDefault="003753B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53BB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3753BB" w:rsidRDefault="003753B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53BB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3753BB" w:rsidRDefault="003753B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53BB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3753BB" w:rsidRDefault="0019235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罗海涛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15651515862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3BB" w:rsidRDefault="003753B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53BB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3753BB" w:rsidRDefault="0019235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3753BB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3753BB" w:rsidRDefault="0019235E">
            <w:r>
              <w:rPr>
                <w:rFonts w:hint="eastAsia"/>
              </w:rPr>
              <w:t>教学大赛集训封闭酒店客房会议室及用餐</w:t>
            </w:r>
          </w:p>
        </w:tc>
        <w:tc>
          <w:tcPr>
            <w:tcW w:w="4128" w:type="dxa"/>
            <w:gridSpan w:val="3"/>
            <w:vAlign w:val="center"/>
          </w:tcPr>
          <w:p w:rsidR="003753BB" w:rsidRDefault="0019235E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教学大赛集训封闭酒店客房会议室及用餐</w:t>
            </w:r>
          </w:p>
          <w:p w:rsidR="008B6F28" w:rsidRDefault="008B6F28" w:rsidP="008B6F28">
            <w:r>
              <w:rPr>
                <w:rFonts w:hint="eastAsia"/>
              </w:rPr>
              <w:t>要求：</w:t>
            </w:r>
          </w:p>
          <w:p w:rsidR="008B6F28" w:rsidRPr="008B6F28" w:rsidRDefault="008B6F28" w:rsidP="008B6F28">
            <w:pPr>
              <w:rPr>
                <w:rFonts w:hint="eastAsia"/>
              </w:rPr>
            </w:pPr>
            <w:r w:rsidRPr="008B6F28">
              <w:rPr>
                <w:rFonts w:hint="eastAsia"/>
              </w:rPr>
              <w:t>教学大赛集训为提升集训质量，需在幽静的场所封闭集训，</w:t>
            </w:r>
            <w:r w:rsidR="00837146">
              <w:rPr>
                <w:rFonts w:hint="eastAsia"/>
              </w:rPr>
              <w:t>以</w:t>
            </w:r>
            <w:r w:rsidRPr="008B6F28">
              <w:rPr>
                <w:rFonts w:hint="eastAsia"/>
              </w:rPr>
              <w:t>导航举例</w:t>
            </w:r>
            <w:r w:rsidR="00837146">
              <w:rPr>
                <w:rFonts w:hint="eastAsia"/>
              </w:rPr>
              <w:t>，</w:t>
            </w:r>
            <w:bookmarkStart w:id="0" w:name="_GoBack"/>
            <w:bookmarkEnd w:id="0"/>
            <w:r w:rsidRPr="008B6F28">
              <w:rPr>
                <w:rFonts w:hint="eastAsia"/>
              </w:rPr>
              <w:t>距学校不少于</w:t>
            </w:r>
            <w:r w:rsidRPr="008B6F28">
              <w:rPr>
                <w:rFonts w:hint="eastAsia"/>
              </w:rPr>
              <w:t>30KM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3753BB" w:rsidRDefault="0019235E">
            <w:pPr>
              <w:widowControl/>
              <w:jc w:val="center"/>
            </w:pPr>
            <w:r>
              <w:rPr>
                <w:rFonts w:hint="eastAsia"/>
              </w:rPr>
              <w:t>见附件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3753BB" w:rsidRDefault="003753BB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753BB" w:rsidRDefault="00375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753BB" w:rsidRDefault="00375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753BB" w:rsidRDefault="00375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753BB" w:rsidRDefault="003753BB">
            <w:pPr>
              <w:jc w:val="center"/>
              <w:rPr>
                <w:color w:val="000000"/>
                <w:sz w:val="24"/>
              </w:rPr>
            </w:pPr>
          </w:p>
        </w:tc>
      </w:tr>
      <w:tr w:rsidR="003753BB">
        <w:trPr>
          <w:trHeight w:val="90"/>
          <w:jc w:val="center"/>
        </w:trPr>
        <w:tc>
          <w:tcPr>
            <w:tcW w:w="1969" w:type="dxa"/>
            <w:vAlign w:val="center"/>
          </w:tcPr>
          <w:p w:rsidR="003753BB" w:rsidRDefault="0019235E"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3753BB" w:rsidRDefault="0019235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3753BB" w:rsidRDefault="0019235E">
            <w:r>
              <w:t>1</w:t>
            </w:r>
            <w:r>
              <w:t>、符合《政府采购法》第二十二条规定的供应商；</w:t>
            </w:r>
          </w:p>
          <w:p w:rsidR="003753BB" w:rsidRDefault="0019235E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3753BB" w:rsidRDefault="0019235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3753BB" w:rsidRDefault="0019235E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为完成本项目所发生的所有相关费用；</w:t>
            </w:r>
          </w:p>
          <w:p w:rsidR="003753BB" w:rsidRDefault="0019235E">
            <w:r>
              <w:t>2</w:t>
            </w:r>
            <w:r>
              <w:t>、</w:t>
            </w:r>
            <w:r>
              <w:rPr>
                <w:rFonts w:hint="eastAsia"/>
                <w:color w:val="FF0000"/>
              </w:rPr>
              <w:t>服务期：</w:t>
            </w:r>
            <w:r w:rsidR="00E07E5B"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11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color w:val="FF0000"/>
              </w:rPr>
              <w:t>-</w:t>
            </w:r>
            <w:r w:rsidR="00E07E5B"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13</w:t>
            </w:r>
            <w:r>
              <w:rPr>
                <w:rFonts w:hint="eastAsia"/>
                <w:color w:val="FF0000"/>
              </w:rPr>
              <w:t>日；</w:t>
            </w:r>
          </w:p>
          <w:p w:rsidR="003753BB" w:rsidRDefault="0019235E">
            <w:r>
              <w:t>3</w:t>
            </w:r>
            <w:r>
              <w:rPr>
                <w:rFonts w:hint="eastAsia"/>
              </w:rPr>
              <w:t>、本服务项目满足校方要求，服务结束后，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3753BB" w:rsidRDefault="0019235E">
            <w:pPr>
              <w:widowControl/>
              <w:shd w:val="clear" w:color="auto" w:fill="FFFFFF"/>
              <w:spacing w:line="300" w:lineRule="atLeast"/>
              <w:jc w:val="left"/>
            </w:pPr>
            <w:r>
              <w:t>4</w:t>
            </w:r>
            <w:r>
              <w:rPr>
                <w:rFonts w:hint="eastAsia"/>
              </w:rPr>
              <w:t>、本项目最高限价为</w:t>
            </w:r>
            <w:r>
              <w:rPr>
                <w:rFonts w:ascii="宋体" w:hAnsi="宋体" w:cs="宋体" w:hint="eastAsia"/>
                <w:color w:val="232323"/>
                <w:kern w:val="0"/>
                <w:sz w:val="24"/>
                <w:szCs w:val="24"/>
                <w:shd w:val="clear" w:color="auto" w:fill="FFFFFF"/>
                <w:lang w:bidi="ar"/>
              </w:rPr>
              <w:t>35900</w:t>
            </w:r>
            <w:r>
              <w:rPr>
                <w:rFonts w:hint="eastAsia"/>
              </w:rPr>
              <w:t>元，报价超过最高限价为无效报价；</w:t>
            </w:r>
          </w:p>
          <w:p w:rsidR="001F283B" w:rsidRPr="00A64E80" w:rsidRDefault="001F283B" w:rsidP="001F283B">
            <w:pPr>
              <w:pStyle w:val="2"/>
              <w:ind w:firstLineChars="0" w:firstLine="0"/>
              <w:rPr>
                <w:rFonts w:ascii="Times New Roman" w:eastAsia="宋体" w:hAnsi="Times New Roman"/>
              </w:rPr>
            </w:pPr>
            <w:r>
              <w:rPr>
                <w:rFonts w:ascii="宋体" w:hint="eastAsia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、</w:t>
            </w:r>
            <w:r w:rsidRPr="00A64E80">
              <w:rPr>
                <w:rFonts w:ascii="Times New Roman" w:eastAsia="宋体" w:hAnsi="Times New Roman" w:hint="eastAsia"/>
              </w:rPr>
              <w:t>报价文件中除报价资料外还应包含以下资料（</w:t>
            </w:r>
            <w:r w:rsidRPr="00FC6EB4">
              <w:rPr>
                <w:rFonts w:ascii="Times New Roman" w:eastAsia="宋体" w:hAnsi="Times New Roman" w:hint="eastAsia"/>
                <w:color w:val="FF0000"/>
              </w:rPr>
              <w:t>均需加盖公章</w:t>
            </w:r>
            <w:r w:rsidRPr="00A64E80">
              <w:rPr>
                <w:rFonts w:ascii="Times New Roman" w:eastAsia="宋体" w:hAnsi="Times New Roman" w:hint="eastAsia"/>
              </w:rPr>
              <w:t>）：（</w:t>
            </w:r>
            <w:r w:rsidRPr="00A64E80">
              <w:rPr>
                <w:rFonts w:ascii="Times New Roman" w:eastAsia="宋体" w:hAnsi="Times New Roman" w:hint="eastAsia"/>
              </w:rPr>
              <w:t>1</w:t>
            </w:r>
            <w:r w:rsidRPr="00A64E80">
              <w:rPr>
                <w:rFonts w:ascii="Times New Roman" w:eastAsia="宋体" w:hAnsi="Times New Roman" w:hint="eastAsia"/>
              </w:rPr>
              <w:t>）</w:t>
            </w:r>
            <w:r w:rsidRPr="00A64E80">
              <w:rPr>
                <w:rFonts w:ascii="Times New Roman" w:eastAsia="宋体" w:hAnsi="Times New Roman"/>
              </w:rPr>
              <w:t>营业执照复印件</w:t>
            </w:r>
            <w:r w:rsidRPr="00A64E80">
              <w:rPr>
                <w:rFonts w:ascii="Times New Roman" w:eastAsia="宋体" w:hAnsi="Times New Roman" w:hint="eastAsia"/>
              </w:rPr>
              <w:t>，（</w:t>
            </w:r>
            <w:r w:rsidRPr="00A64E80">
              <w:rPr>
                <w:rFonts w:ascii="Times New Roman" w:eastAsia="宋体" w:hAnsi="Times New Roman" w:hint="eastAsia"/>
              </w:rPr>
              <w:t>2</w:t>
            </w:r>
            <w:r w:rsidRPr="00A64E80">
              <w:rPr>
                <w:rFonts w:ascii="Times New Roman" w:eastAsia="宋体" w:hAnsi="Times New Roman" w:hint="eastAsia"/>
              </w:rPr>
              <w:t>）</w:t>
            </w:r>
            <w:r w:rsidRPr="00A64E80">
              <w:rPr>
                <w:rFonts w:ascii="Times New Roman" w:eastAsia="宋体" w:hAnsi="Times New Roman"/>
              </w:rPr>
              <w:t>法定代表人身份证复印件</w:t>
            </w:r>
            <w:r w:rsidRPr="00A64E80">
              <w:rPr>
                <w:rFonts w:ascii="Times New Roman" w:eastAsia="宋体" w:hAnsi="Times New Roman" w:hint="eastAsia"/>
              </w:rPr>
              <w:t>，（</w:t>
            </w:r>
            <w:r w:rsidRPr="00A64E80">
              <w:rPr>
                <w:rFonts w:ascii="Times New Roman" w:eastAsia="宋体" w:hAnsi="Times New Roman" w:hint="eastAsia"/>
              </w:rPr>
              <w:t>3</w:t>
            </w:r>
            <w:r w:rsidRPr="00A64E80">
              <w:rPr>
                <w:rFonts w:ascii="Times New Roman" w:eastAsia="宋体" w:hAnsi="Times New Roman" w:hint="eastAsia"/>
              </w:rPr>
              <w:t>）</w:t>
            </w:r>
            <w:r w:rsidRPr="00A64E80">
              <w:rPr>
                <w:rFonts w:ascii="Times New Roman" w:eastAsia="宋体" w:hAnsi="Times New Roman"/>
              </w:rPr>
              <w:t>授权代表还需提供法人授权委托书原件</w:t>
            </w:r>
            <w:r w:rsidRPr="00A64E80">
              <w:rPr>
                <w:rFonts w:ascii="Times New Roman" w:eastAsia="宋体" w:hAnsi="Times New Roman" w:hint="eastAsia"/>
              </w:rPr>
              <w:t>，（</w:t>
            </w:r>
            <w:r w:rsidRPr="00A64E80">
              <w:rPr>
                <w:rFonts w:ascii="Times New Roman" w:eastAsia="宋体" w:hAnsi="Times New Roman" w:hint="eastAsia"/>
              </w:rPr>
              <w:t>4</w:t>
            </w:r>
            <w:r w:rsidRPr="00A64E80">
              <w:rPr>
                <w:rFonts w:ascii="Times New Roman" w:eastAsia="宋体" w:hAnsi="Times New Roman" w:hint="eastAsia"/>
              </w:rPr>
              <w:t>）</w:t>
            </w:r>
            <w:r w:rsidRPr="00A64E80">
              <w:rPr>
                <w:rFonts w:ascii="Times New Roman" w:eastAsia="宋体" w:hAnsi="Times New Roman"/>
              </w:rPr>
              <w:t>授权代表身份证复印件</w:t>
            </w:r>
            <w:r w:rsidRPr="00A64E80">
              <w:rPr>
                <w:rFonts w:ascii="Times New Roman" w:eastAsia="宋体" w:hAnsi="Times New Roman" w:hint="eastAsia"/>
              </w:rPr>
              <w:t>。</w:t>
            </w:r>
          </w:p>
          <w:p w:rsidR="001F283B" w:rsidRPr="001F283B" w:rsidRDefault="001F283B" w:rsidP="001F283B">
            <w:pPr>
              <w:pStyle w:val="4"/>
            </w:pPr>
          </w:p>
          <w:p w:rsidR="003753BB" w:rsidRDefault="0019235E">
            <w:r>
              <w:rPr>
                <w:rFonts w:hint="eastAsia"/>
              </w:rPr>
              <w:t>三、确定成交单位</w:t>
            </w:r>
          </w:p>
          <w:p w:rsidR="001F283B" w:rsidRDefault="001F283B" w:rsidP="001F283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1、报价文件请授权代表签字并加盖单位公章后于</w:t>
            </w:r>
            <w:r>
              <w:rPr>
                <w:rFonts w:ascii="宋体" w:hAnsi="宋体"/>
                <w:color w:val="000000"/>
                <w:szCs w:val="21"/>
              </w:rPr>
              <w:t>2023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ascii="宋体" w:hAnsi="宋体" w:hint="eastAsia"/>
                <w:color w:val="000000"/>
                <w:szCs w:val="21"/>
              </w:rPr>
              <w:t>:00前</w:t>
            </w:r>
            <w:r w:rsidRPr="00A64E80">
              <w:rPr>
                <w:rFonts w:ascii="宋体" w:hAnsi="宋体" w:hint="eastAsia"/>
                <w:color w:val="FF0000"/>
                <w:szCs w:val="21"/>
              </w:rPr>
              <w:t>密封</w:t>
            </w:r>
            <w:r>
              <w:rPr>
                <w:rFonts w:ascii="宋体" w:hAnsi="宋体" w:hint="eastAsia"/>
                <w:color w:val="000000"/>
                <w:szCs w:val="21"/>
              </w:rPr>
              <w:t>寄送至无锡职业技术学院</w:t>
            </w:r>
            <w:r w:rsidR="0019235E">
              <w:rPr>
                <w:rFonts w:ascii="宋体" w:hAnsi="宋体" w:hint="eastAsia"/>
                <w:color w:val="000000"/>
                <w:szCs w:val="21"/>
              </w:rPr>
              <w:t>教务处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报价文件采用邮寄方式（到付拒收），报价人应充分考虑邮件在途时间，保证报价文件能够在截止时间之前送达学校</w:t>
            </w:r>
            <w:r>
              <w:rPr>
                <w:rFonts w:ascii="宋体" w:hAnsi="宋体" w:hint="eastAsia"/>
                <w:color w:val="000000"/>
                <w:szCs w:val="21"/>
              </w:rPr>
              <w:t>寄出报价文件时务必联系告知邮件单号）。</w:t>
            </w:r>
          </w:p>
          <w:p w:rsidR="003753BB" w:rsidRDefault="0019235E"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3753BB" w:rsidRDefault="0019235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3753BB" w:rsidRDefault="003753BB">
            <w:pPr>
              <w:pStyle w:val="4"/>
            </w:pPr>
          </w:p>
          <w:p w:rsidR="003753BB" w:rsidRDefault="003753BB">
            <w:pPr>
              <w:pStyle w:val="4"/>
            </w:pPr>
          </w:p>
        </w:tc>
      </w:tr>
      <w:tr w:rsidR="003753BB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3753BB" w:rsidRDefault="0019235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3753BB" w:rsidRDefault="0019235E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3753BB" w:rsidRDefault="0019235E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评审地点：无锡职业技术学院综合楼</w:t>
            </w:r>
            <w:r>
              <w:rPr>
                <w:rFonts w:eastAsia="宋体" w:hint="eastAsia"/>
                <w:b w:val="0"/>
                <w:bCs w:val="0"/>
                <w:sz w:val="21"/>
              </w:rPr>
              <w:t>905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3753BB" w:rsidRDefault="0019235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3753BB" w:rsidRDefault="0019235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3753BB" w:rsidRDefault="0019235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3753BB" w:rsidRDefault="0019235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3753BB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3753BB" w:rsidRDefault="0019235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3753BB" w:rsidRDefault="0019235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3753BB" w:rsidRDefault="003753BB">
      <w:pPr>
        <w:tabs>
          <w:tab w:val="left" w:pos="3664"/>
        </w:tabs>
        <w:rPr>
          <w:sz w:val="32"/>
          <w:szCs w:val="32"/>
        </w:rPr>
      </w:pPr>
    </w:p>
    <w:p w:rsidR="003753BB" w:rsidRDefault="0019235E">
      <w:pPr>
        <w:tabs>
          <w:tab w:val="left" w:pos="3664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3753BB" w:rsidRDefault="003753BB">
      <w:pPr>
        <w:pStyle w:val="4"/>
      </w:pPr>
    </w:p>
    <w:tbl>
      <w:tblPr>
        <w:tblW w:w="12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8"/>
        <w:gridCol w:w="2134"/>
        <w:gridCol w:w="5902"/>
        <w:gridCol w:w="1298"/>
      </w:tblGrid>
      <w:tr w:rsidR="003753BB">
        <w:trPr>
          <w:trHeight w:val="524"/>
        </w:trPr>
        <w:tc>
          <w:tcPr>
            <w:tcW w:w="710" w:type="dxa"/>
            <w:vAlign w:val="center"/>
          </w:tcPr>
          <w:p w:rsidR="003753BB" w:rsidRDefault="0019235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8" w:type="dxa"/>
            <w:vAlign w:val="center"/>
          </w:tcPr>
          <w:p w:rsidR="003753BB" w:rsidRDefault="0019235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2134" w:type="dxa"/>
            <w:vAlign w:val="center"/>
          </w:tcPr>
          <w:p w:rsidR="003753BB" w:rsidRDefault="0019235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902" w:type="dxa"/>
            <w:vAlign w:val="center"/>
          </w:tcPr>
          <w:p w:rsidR="003753BB" w:rsidRDefault="0019235E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298" w:type="dxa"/>
            <w:vAlign w:val="center"/>
          </w:tcPr>
          <w:p w:rsidR="003753BB" w:rsidRDefault="0019235E">
            <w:pPr>
              <w:spacing w:line="480" w:lineRule="auto"/>
              <w:ind w:firstLineChars="200" w:firstLine="420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备注</w:t>
            </w:r>
          </w:p>
        </w:tc>
      </w:tr>
      <w:tr w:rsidR="003753BB">
        <w:trPr>
          <w:trHeight w:val="1170"/>
        </w:trPr>
        <w:tc>
          <w:tcPr>
            <w:tcW w:w="710" w:type="dxa"/>
            <w:vAlign w:val="center"/>
          </w:tcPr>
          <w:p w:rsidR="003753BB" w:rsidRDefault="001923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3753BB" w:rsidRDefault="0019235E">
            <w:r>
              <w:rPr>
                <w:rFonts w:hint="eastAsia"/>
              </w:rPr>
              <w:t>酒店客房</w:t>
            </w:r>
          </w:p>
        </w:tc>
        <w:tc>
          <w:tcPr>
            <w:tcW w:w="2134" w:type="dxa"/>
            <w:vAlign w:val="center"/>
          </w:tcPr>
          <w:p w:rsidR="003753BB" w:rsidRDefault="0019235E">
            <w:pPr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55间*天</w:t>
            </w:r>
          </w:p>
        </w:tc>
        <w:tc>
          <w:tcPr>
            <w:tcW w:w="5902" w:type="dxa"/>
            <w:vAlign w:val="center"/>
          </w:tcPr>
          <w:p w:rsidR="003753BB" w:rsidRDefault="001923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color w:val="FF0000"/>
              </w:rPr>
              <w:t>包含早餐服务</w:t>
            </w:r>
          </w:p>
        </w:tc>
        <w:tc>
          <w:tcPr>
            <w:tcW w:w="1298" w:type="dxa"/>
            <w:vAlign w:val="center"/>
          </w:tcPr>
          <w:p w:rsidR="003753BB" w:rsidRDefault="003753BB">
            <w:pPr>
              <w:rPr>
                <w:rFonts w:eastAsiaTheme="minorEastAsia"/>
              </w:rPr>
            </w:pPr>
          </w:p>
        </w:tc>
      </w:tr>
      <w:tr w:rsidR="003753BB">
        <w:trPr>
          <w:trHeight w:val="514"/>
        </w:trPr>
        <w:tc>
          <w:tcPr>
            <w:tcW w:w="710" w:type="dxa"/>
            <w:vAlign w:val="center"/>
          </w:tcPr>
          <w:p w:rsidR="003753BB" w:rsidRDefault="001923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:rsidR="003753BB" w:rsidRDefault="001923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会议室（</w:t>
            </w:r>
            <w:r>
              <w:rPr>
                <w:rFonts w:eastAsiaTheme="minorEastAsia" w:hint="eastAsia"/>
              </w:rPr>
              <w:t>200</w:t>
            </w:r>
            <w:r>
              <w:rPr>
                <w:rFonts w:eastAsiaTheme="minorEastAsia" w:hint="eastAsia"/>
              </w:rPr>
              <w:t>人规模）</w:t>
            </w:r>
          </w:p>
        </w:tc>
        <w:tc>
          <w:tcPr>
            <w:tcW w:w="2134" w:type="dxa"/>
            <w:vAlign w:val="center"/>
          </w:tcPr>
          <w:p w:rsidR="003753BB" w:rsidRDefault="0019235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场（半天）</w:t>
            </w:r>
          </w:p>
        </w:tc>
        <w:tc>
          <w:tcPr>
            <w:tcW w:w="5902" w:type="dxa"/>
            <w:vAlign w:val="center"/>
          </w:tcPr>
          <w:p w:rsidR="003753BB" w:rsidRDefault="001923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提供投影仪、音响系统、白板、纸笔、茶水等会务服务</w:t>
            </w:r>
          </w:p>
        </w:tc>
        <w:tc>
          <w:tcPr>
            <w:tcW w:w="1298" w:type="dxa"/>
            <w:vAlign w:val="center"/>
          </w:tcPr>
          <w:p w:rsidR="003753BB" w:rsidRDefault="003753BB">
            <w:pPr>
              <w:rPr>
                <w:rFonts w:eastAsiaTheme="minorEastAsia"/>
              </w:rPr>
            </w:pPr>
          </w:p>
        </w:tc>
      </w:tr>
      <w:tr w:rsidR="003753BB">
        <w:trPr>
          <w:trHeight w:val="642"/>
        </w:trPr>
        <w:tc>
          <w:tcPr>
            <w:tcW w:w="710" w:type="dxa"/>
            <w:vAlign w:val="center"/>
          </w:tcPr>
          <w:p w:rsidR="003753BB" w:rsidRDefault="0019235E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:rsidR="003753BB" w:rsidRDefault="001923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简餐</w:t>
            </w:r>
          </w:p>
        </w:tc>
        <w:tc>
          <w:tcPr>
            <w:tcW w:w="2134" w:type="dxa"/>
            <w:vAlign w:val="center"/>
          </w:tcPr>
          <w:p w:rsidR="003753BB" w:rsidRDefault="0019235E"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次左右</w:t>
            </w:r>
            <w:r>
              <w:t xml:space="preserve"> </w:t>
            </w:r>
          </w:p>
        </w:tc>
        <w:tc>
          <w:tcPr>
            <w:tcW w:w="5902" w:type="dxa"/>
            <w:vAlign w:val="center"/>
          </w:tcPr>
          <w:p w:rsidR="003753BB" w:rsidRDefault="001923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会议简餐</w:t>
            </w:r>
          </w:p>
        </w:tc>
        <w:tc>
          <w:tcPr>
            <w:tcW w:w="1298" w:type="dxa"/>
            <w:vAlign w:val="center"/>
          </w:tcPr>
          <w:p w:rsidR="003753BB" w:rsidRDefault="003753BB">
            <w:pPr>
              <w:rPr>
                <w:rFonts w:eastAsiaTheme="minorEastAsia"/>
              </w:rPr>
            </w:pPr>
          </w:p>
        </w:tc>
      </w:tr>
    </w:tbl>
    <w:p w:rsidR="003753BB" w:rsidRDefault="003753BB"/>
    <w:sectPr w:rsidR="003753B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B3" w:rsidRDefault="001970B3" w:rsidP="008B6F28">
      <w:r>
        <w:separator/>
      </w:r>
    </w:p>
  </w:endnote>
  <w:endnote w:type="continuationSeparator" w:id="0">
    <w:p w:rsidR="001970B3" w:rsidRDefault="001970B3" w:rsidP="008B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omoon">
    <w:charset w:val="00"/>
    <w:family w:val="auto"/>
    <w:pitch w:val="default"/>
    <w:sig w:usb0="00000001" w:usb1="1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B3" w:rsidRDefault="001970B3" w:rsidP="008B6F28">
      <w:r>
        <w:separator/>
      </w:r>
    </w:p>
  </w:footnote>
  <w:footnote w:type="continuationSeparator" w:id="0">
    <w:p w:rsidR="001970B3" w:rsidRDefault="001970B3" w:rsidP="008B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OWU0ZWFiMWUzOGUyYzE1MmM3ZDk0OWYyYzc3N2QifQ=="/>
  </w:docVars>
  <w:rsids>
    <w:rsidRoot w:val="0013120D"/>
    <w:rsid w:val="00001AAC"/>
    <w:rsid w:val="00007815"/>
    <w:rsid w:val="000278B6"/>
    <w:rsid w:val="00030592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77D8E"/>
    <w:rsid w:val="00181010"/>
    <w:rsid w:val="00181C73"/>
    <w:rsid w:val="0019235E"/>
    <w:rsid w:val="001970B3"/>
    <w:rsid w:val="001B2A31"/>
    <w:rsid w:val="001C141B"/>
    <w:rsid w:val="001D5E4E"/>
    <w:rsid w:val="001F283B"/>
    <w:rsid w:val="00201CE9"/>
    <w:rsid w:val="00213EF5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D764E"/>
    <w:rsid w:val="002E3700"/>
    <w:rsid w:val="002E6567"/>
    <w:rsid w:val="002E7B29"/>
    <w:rsid w:val="0030660F"/>
    <w:rsid w:val="00313356"/>
    <w:rsid w:val="0031407C"/>
    <w:rsid w:val="00332899"/>
    <w:rsid w:val="003665A2"/>
    <w:rsid w:val="003753BB"/>
    <w:rsid w:val="003A01A8"/>
    <w:rsid w:val="003A238B"/>
    <w:rsid w:val="003A5569"/>
    <w:rsid w:val="003A7769"/>
    <w:rsid w:val="003A7F4C"/>
    <w:rsid w:val="003C01AA"/>
    <w:rsid w:val="003C6C43"/>
    <w:rsid w:val="003D1C5E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01DDE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37ECF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331A"/>
    <w:rsid w:val="006C4B6A"/>
    <w:rsid w:val="006D72C9"/>
    <w:rsid w:val="00713347"/>
    <w:rsid w:val="00721770"/>
    <w:rsid w:val="007262CF"/>
    <w:rsid w:val="00734A91"/>
    <w:rsid w:val="00735B08"/>
    <w:rsid w:val="007509DC"/>
    <w:rsid w:val="00784869"/>
    <w:rsid w:val="0079472E"/>
    <w:rsid w:val="00796306"/>
    <w:rsid w:val="007B0166"/>
    <w:rsid w:val="007B7196"/>
    <w:rsid w:val="007B752D"/>
    <w:rsid w:val="007D0A43"/>
    <w:rsid w:val="007E7E5B"/>
    <w:rsid w:val="008046AA"/>
    <w:rsid w:val="0081218E"/>
    <w:rsid w:val="008163A8"/>
    <w:rsid w:val="008206C2"/>
    <w:rsid w:val="00837146"/>
    <w:rsid w:val="008426C6"/>
    <w:rsid w:val="00852D55"/>
    <w:rsid w:val="008675C5"/>
    <w:rsid w:val="00871481"/>
    <w:rsid w:val="00871F61"/>
    <w:rsid w:val="008730E8"/>
    <w:rsid w:val="0089171C"/>
    <w:rsid w:val="008A1F84"/>
    <w:rsid w:val="008B6F28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17F6"/>
    <w:rsid w:val="00AD58A9"/>
    <w:rsid w:val="00AF0A93"/>
    <w:rsid w:val="00B0317F"/>
    <w:rsid w:val="00B16A0B"/>
    <w:rsid w:val="00B26A41"/>
    <w:rsid w:val="00B43441"/>
    <w:rsid w:val="00B462B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A356A"/>
    <w:rsid w:val="00DB082C"/>
    <w:rsid w:val="00DB3FF0"/>
    <w:rsid w:val="00DE4DE8"/>
    <w:rsid w:val="00E07E5B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EF4EF3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4C80E4D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779607D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84F3405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6DEC7CF2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81B6BAE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BFCBB"/>
  <w15:docId w15:val="{60735E28-9E66-43BB-A6D1-3DD6AA03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rPr>
      <w:color w:val="039BE5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Pr>
      <w:rFonts w:ascii="Consolas" w:eastAsia="Consolas" w:hAnsi="Consolas" w:cs="Consolas"/>
      <w:color w:val="FFFFFF"/>
      <w:sz w:val="18"/>
      <w:szCs w:val="18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icon-blocked">
    <w:name w:val="icon-blocked"/>
    <w:basedOn w:val="a0"/>
    <w:qFormat/>
    <w:rPr>
      <w:color w:val="F5F5F5"/>
      <w:sz w:val="21"/>
      <w:szCs w:val="21"/>
    </w:rPr>
  </w:style>
  <w:style w:type="character" w:customStyle="1" w:styleId="hover3">
    <w:name w:val="hover3"/>
    <w:basedOn w:val="a0"/>
    <w:qFormat/>
    <w:rPr>
      <w:shd w:val="clear" w:color="auto" w:fill="F5F5F5"/>
    </w:rPr>
  </w:style>
  <w:style w:type="character" w:customStyle="1" w:styleId="new">
    <w:name w:val="new"/>
    <w:basedOn w:val="a0"/>
    <w:qFormat/>
    <w:rPr>
      <w:color w:val="999999"/>
    </w:rPr>
  </w:style>
  <w:style w:type="character" w:customStyle="1" w:styleId="old">
    <w:name w:val="old"/>
    <w:basedOn w:val="a0"/>
    <w:rPr>
      <w:color w:val="999999"/>
    </w:rPr>
  </w:style>
  <w:style w:type="character" w:customStyle="1" w:styleId="after">
    <w:name w:val="after"/>
    <w:basedOn w:val="a0"/>
    <w:qFormat/>
    <w:rPr>
      <w:bdr w:val="single" w:sz="24" w:space="0" w:color="auto"/>
    </w:rPr>
  </w:style>
  <w:style w:type="character" w:customStyle="1" w:styleId="after1">
    <w:name w:val="after1"/>
    <w:basedOn w:val="a0"/>
    <w:rPr>
      <w:rFonts w:ascii="icomoon" w:eastAsia="icomoon" w:hAnsi="icomoon" w:cs="icomoon" w:hint="default"/>
      <w:sz w:val="24"/>
      <w:szCs w:val="24"/>
    </w:rPr>
  </w:style>
  <w:style w:type="character" w:customStyle="1" w:styleId="after2">
    <w:name w:val="after2"/>
    <w:basedOn w:val="a0"/>
  </w:style>
  <w:style w:type="character" w:customStyle="1" w:styleId="hover5">
    <w:name w:val="hover5"/>
    <w:basedOn w:val="a0"/>
    <w:rPr>
      <w:shd w:val="clear" w:color="auto" w:fill="F5F5F5"/>
    </w:rPr>
  </w:style>
  <w:style w:type="paragraph" w:styleId="ab">
    <w:name w:val="Body Text Indent"/>
    <w:basedOn w:val="a"/>
    <w:link w:val="ac"/>
    <w:uiPriority w:val="99"/>
    <w:semiHidden/>
    <w:unhideWhenUsed/>
    <w:rsid w:val="001F283B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1F283B"/>
    <w:rPr>
      <w:kern w:val="2"/>
      <w:sz w:val="21"/>
      <w:szCs w:val="22"/>
    </w:rPr>
  </w:style>
  <w:style w:type="paragraph" w:styleId="2">
    <w:name w:val="Body Text First Indent 2"/>
    <w:basedOn w:val="ab"/>
    <w:link w:val="20"/>
    <w:uiPriority w:val="99"/>
    <w:unhideWhenUsed/>
    <w:qFormat/>
    <w:rsid w:val="001F283B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c"/>
    <w:link w:val="2"/>
    <w:uiPriority w:val="99"/>
    <w:rsid w:val="001F283B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3170-6B1B-457B-B926-18B72834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21</cp:revision>
  <cp:lastPrinted>2019-04-18T06:15:00Z</cp:lastPrinted>
  <dcterms:created xsi:type="dcterms:W3CDTF">2022-05-19T13:26:00Z</dcterms:created>
  <dcterms:modified xsi:type="dcterms:W3CDTF">2023-05-25T01:49:00Z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D1C72B6CDA89411D813D5CD3C4DD08F0_13</vt:lpwstr>
  </property>
</Properties>
</file>