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图书馆特色电子书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采购项目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</w:t>
      </w:r>
      <w:r>
        <w:rPr>
          <w:rFonts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（XJ-20220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-010）</w:t>
      </w:r>
    </w:p>
    <w:tbl>
      <w:tblPr>
        <w:tblStyle w:val="9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08"/>
        <w:gridCol w:w="2161"/>
        <w:gridCol w:w="1917"/>
        <w:gridCol w:w="776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</w:t>
            </w:r>
            <w:r>
              <w:rPr>
                <w:rFonts w:hint="eastAsia"/>
                <w:b/>
                <w:color w:val="000000"/>
                <w:sz w:val="24"/>
              </w:rPr>
              <w:t>2年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808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于强强</w:t>
            </w:r>
          </w:p>
        </w:tc>
        <w:tc>
          <w:tcPr>
            <w:tcW w:w="2161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18261340356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货物</w:t>
            </w: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5886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1261" w:type="dxa"/>
            <w:vAlign w:val="center"/>
          </w:tcPr>
          <w:p>
            <w:pPr>
              <w:tabs>
                <w:tab w:val="left" w:pos="780"/>
              </w:tabs>
              <w:snapToGri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特色电子书</w:t>
            </w:r>
          </w:p>
        </w:tc>
        <w:tc>
          <w:tcPr>
            <w:tcW w:w="5886" w:type="dxa"/>
            <w:gridSpan w:val="3"/>
            <w:vAlign w:val="center"/>
          </w:tcPr>
          <w:p>
            <w:r>
              <w:rPr>
                <w:rFonts w:hint="eastAsia"/>
              </w:rPr>
              <w:t>符合数字图书馆标准与规范建设；系统支持用户自主添加图书资源、数据库和建立分类，具有很强的可扩充性和持续升级能力。</w:t>
            </w:r>
          </w:p>
          <w:p>
            <w:r>
              <w:rPr>
                <w:rFonts w:hint="eastAsia"/>
              </w:rPr>
              <w:t>（一）数据资源</w:t>
            </w:r>
          </w:p>
          <w:p>
            <w:r>
              <w:rPr>
                <w:rFonts w:hint="eastAsia"/>
              </w:rPr>
              <w:t>1.应用先进的中文文字处理技术，保持图书原有的版式和原貌，包括复杂的图表、公式等；</w:t>
            </w:r>
          </w:p>
          <w:p>
            <w:r>
              <w:rPr>
                <w:rFonts w:hint="eastAsia"/>
              </w:rPr>
              <w:t>2.提供的电子图书必须为统一的格式，可以支持PC和移动阅读；</w:t>
            </w:r>
          </w:p>
          <w:p>
            <w:r>
              <w:rPr>
                <w:rFonts w:hint="eastAsia"/>
              </w:rPr>
              <w:t>3.内容涵盖全面，适应高校教学和科研要求、适应大众阅读需求；</w:t>
            </w:r>
          </w:p>
          <w:p>
            <w:r>
              <w:rPr>
                <w:rFonts w:hint="eastAsia"/>
              </w:rPr>
              <w:t>4.提供高清晰的全文在线阅读，并提供下载借阅功能，无副本限制；</w:t>
            </w:r>
          </w:p>
          <w:p>
            <w:r>
              <w:rPr>
                <w:rFonts w:hint="eastAsia"/>
              </w:rPr>
              <w:t>5.图书按照《中国图书馆分类法》分类，覆盖中图分类法22个分类，并支持全文检索；提供批量操作、推荐图书等功能。</w:t>
            </w:r>
          </w:p>
          <w:p>
            <w:r>
              <w:rPr>
                <w:rFonts w:hint="eastAsia"/>
              </w:rPr>
              <w:t>(二)</w:t>
            </w:r>
            <w:r>
              <w:t xml:space="preserve"> </w:t>
            </w:r>
            <w:r>
              <w:rPr>
                <w:rFonts w:hint="eastAsia"/>
              </w:rPr>
              <w:t>阅读软件</w:t>
            </w:r>
          </w:p>
          <w:p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阅读软件同时支持手机和电脑客户端，可以和图书馆OPAC对接；</w:t>
            </w:r>
          </w:p>
          <w:p>
            <w:r>
              <w:rPr>
                <w:rFonts w:hint="eastAsia"/>
              </w:rPr>
              <w:t>2.电子图书内容方便复制、粘贴，拷贝表格，便于读者使用；</w:t>
            </w:r>
          </w:p>
          <w:p>
            <w:r>
              <w:rPr>
                <w:rFonts w:hint="eastAsia"/>
              </w:rPr>
              <w:t>3.可对电子图书进行标引、批注、画线、加亮等操作；</w:t>
            </w:r>
          </w:p>
          <w:p>
            <w:r>
              <w:rPr>
                <w:rFonts w:hint="eastAsia"/>
              </w:rPr>
              <w:t>4.具有字体放大、缩小、变换背景颜色、界面旋转、界面的最大（小）化操作；</w:t>
            </w:r>
          </w:p>
          <w:p>
            <w:r>
              <w:rPr>
                <w:rFonts w:hint="eastAsia"/>
              </w:rPr>
              <w:t>5.阅读软件支持以读书模式和放映模式阅读，读书模式还原纸质书阅读体验；</w:t>
            </w:r>
          </w:p>
          <w:p>
            <w:r>
              <w:rPr>
                <w:rFonts w:hint="eastAsia"/>
              </w:rPr>
              <w:t>6.翻页功能：前后翻页、直接跳转到指定的页面、翻到首末；</w:t>
            </w:r>
          </w:p>
          <w:p>
            <w:r>
              <w:rPr>
                <w:rFonts w:hint="eastAsia"/>
              </w:rPr>
              <w:t>7.藏书及书架管理：图书分类、查找、管理等；采用书架式进行图书综合管理，允许用户添加、删除、阅读图书并对图书进行排序、分类和备份；</w:t>
            </w:r>
          </w:p>
          <w:p>
            <w:r>
              <w:rPr>
                <w:rFonts w:hint="eastAsia"/>
              </w:rPr>
              <w:t>8.阅读软件具广泛的兼容性，可以阅读多种格式的数字资源,如PNG、EPUB、CEBX、PDF、TXT、HTML等；</w:t>
            </w:r>
          </w:p>
          <w:p>
            <w:r>
              <w:rPr>
                <w:rFonts w:hint="eastAsia"/>
              </w:rPr>
              <w:t>9.阅读软件使用方便，支持动态翻书效果,支持多媒体链接，图文并貌、影音共现；</w:t>
            </w:r>
          </w:p>
          <w:p>
            <w:r>
              <w:rPr>
                <w:rFonts w:hint="eastAsia"/>
              </w:rPr>
              <w:t>10.具有简便的全文查找、内容摘录功能；</w:t>
            </w:r>
          </w:p>
          <w:p>
            <w:r>
              <w:rPr>
                <w:rFonts w:hint="eastAsia"/>
              </w:rPr>
              <w:t>11.支持播放动画、声音等音视频文件。</w:t>
            </w:r>
          </w:p>
          <w:p>
            <w:r>
              <w:rPr>
                <w:rFonts w:hint="eastAsia"/>
              </w:rPr>
              <w:t>(三)</w:t>
            </w:r>
            <w:r>
              <w:t xml:space="preserve"> </w:t>
            </w:r>
            <w:r>
              <w:rPr>
                <w:rFonts w:hint="eastAsia"/>
              </w:rPr>
              <w:t>系统平台</w:t>
            </w:r>
          </w:p>
          <w:p>
            <w:r>
              <w:rPr>
                <w:rFonts w:hint="eastAsia"/>
              </w:rPr>
              <w:t>1.提供多个检索入口，一般检索、分类检索、高级检索等多种检索功能支持，具备全文检索功能，检索查询快捷、方便、准确；</w:t>
            </w:r>
          </w:p>
          <w:p>
            <w:r>
              <w:rPr>
                <w:rFonts w:hint="eastAsia"/>
              </w:rPr>
              <w:t>2.具备分类导航功能，检索结果支持排序；</w:t>
            </w:r>
          </w:p>
          <w:p>
            <w:r>
              <w:rPr>
                <w:rFonts w:hint="eastAsia"/>
              </w:rPr>
              <w:t>3.支持在线阅读和下载离线阅读的功能；</w:t>
            </w:r>
          </w:p>
          <w:p>
            <w:r>
              <w:rPr>
                <w:rFonts w:hint="eastAsia"/>
              </w:rPr>
              <w:t>4.阅读界面简单易用，提供图书目录导航，支持文内检索和快速定位，支持文字内容拷贝和部分摘录，可添加书签等；</w:t>
            </w:r>
          </w:p>
          <w:p>
            <w:r>
              <w:rPr>
                <w:rFonts w:hint="eastAsia"/>
              </w:rPr>
              <w:t>5.平台以IP限定形式提供给机构在局域网内使用，可多人在线阅读，不限制副本数量；</w:t>
            </w:r>
          </w:p>
          <w:p>
            <w:r>
              <w:rPr>
                <w:rFonts w:hint="eastAsia"/>
              </w:rPr>
              <w:t>6.可以集成学校统一认证平台的账户密码来实现校外访问资源。</w:t>
            </w:r>
          </w:p>
          <w:p>
            <w:r>
              <w:rPr>
                <w:rFonts w:hint="eastAsia"/>
              </w:rPr>
              <w:t>7.图书支持在多种设备上阅读，支持PC端及移动端；</w:t>
            </w:r>
          </w:p>
          <w:p>
            <w:r>
              <w:rPr>
                <w:rFonts w:hint="eastAsia"/>
              </w:rPr>
              <w:t>8.具备多种多样的统计及分析功能，每年度可以提供详细使用分析报告；</w:t>
            </w:r>
          </w:p>
          <w:p>
            <w:r>
              <w:rPr>
                <w:rFonts w:hint="eastAsia"/>
              </w:rPr>
              <w:t>9.系统平台不局限于PC计算机，还可以在手机、PAD、触摸屏以及手持阅读器等多种设备上阅读</w:t>
            </w:r>
          </w:p>
          <w:p>
            <w:r>
              <w:rPr>
                <w:rFonts w:hint="eastAsia"/>
              </w:rPr>
              <w:t>10.可以镜像到本地，永久服务于本馆注册读者，也可以存放到云端托管；疫情期间或其他突发情况随时可以进行云托管服务，本地服务器部署好后随时可以安装到本地。</w:t>
            </w:r>
          </w:p>
          <w:p>
            <w:r>
              <w:rPr>
                <w:rFonts w:hint="eastAsia"/>
              </w:rPr>
              <w:t>（四）版权要求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供应商提供的电子图书必须是出版社正式授权的正版资源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版权管理清晰，每种电子图书都拥有合法的所有权、知识产权及其它权益，保证不侵犯任何第三方合法的所有权、知识产权及其它任何权益，均可合法使用。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/>
              </w:rPr>
              <w:t>供应商应提供承诺书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加盖报价供应商公章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，承诺一切与版权或著作权有关的费用及责任由供应商承担，与采购方无关。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供应商提供的电子书应为高质量、高清晰度的电子书。电子书必须符合国家技术规格和质量标准，遵循图书的原版原貌，包括复杂的图表、公式等，图文清晰，文字差错率不高于万分之一。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所提供产品的软件平台必须具备国家版权局颁发的软件著作权证书（提供软件著作权证书复印件并加盖报价供应商公章），原厂商须具备电子图书及相应出版物经销权（《出版物经营许可证》）（提供《出版物经营许可证》复印件并加盖报价供应商公章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所提供产品在国内外达到500家以上用户，具有为高校图书馆、公共图书馆、提供服务的能力和经验，至少提供本省相关客户合作证明合同复印件20份；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报价供应商提供的电子图书必须是出版社正式授权的正版资源。（提供相关出版社授权文件证明，50家出版社以上证明文件）；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eastAsia"/>
                <w:sz w:val="24"/>
                <w:szCs w:val="24"/>
              </w:rPr>
              <w:t>江苏省设有办事处，出现问题随时解决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以营业执照上公司地点为准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776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2" w:type="dxa"/>
            <w:gridSpan w:val="4"/>
            <w:tcBorders>
              <w:right w:val="dotDotDash" w:color="auto" w:sz="18" w:space="0"/>
            </w:tcBorders>
            <w:vAlign w:val="center"/>
          </w:tcPr>
          <w:p>
            <w:r>
              <w:rPr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供应商资格要求</w:t>
            </w:r>
          </w:p>
          <w:p>
            <w:r>
              <w:rPr>
                <w:rFonts w:hint="eastAsia"/>
                <w:lang w:val="en-US" w:eastAsia="zh-CN"/>
              </w:rPr>
              <w:t>1.</w:t>
            </w:r>
            <w:r>
              <w:t>符合《政府采购法》第二十二条规定的供应商；</w:t>
            </w:r>
          </w:p>
          <w:p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营业范围</w:t>
            </w:r>
            <w:r>
              <w:t>应包含本</w:t>
            </w:r>
            <w:r>
              <w:rPr>
                <w:rFonts w:hint="eastAsia"/>
              </w:rPr>
              <w:t>项目</w:t>
            </w:r>
            <w:r>
              <w:t>采购内容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rPr>
                <w:rFonts w:hint="default" w:eastAsia="楷体_GB2312"/>
                <w:lang w:val="en-US" w:eastAsia="zh-CN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报价要求</w:t>
            </w:r>
          </w:p>
          <w:p>
            <w:r>
              <w:t>1</w:t>
            </w:r>
            <w:r>
              <w:rPr>
                <w:rFonts w:hint="eastAsia"/>
              </w:rPr>
              <w:t>.</w:t>
            </w:r>
            <w:r>
              <w:t>报价应包含</w:t>
            </w:r>
            <w:r>
              <w:rPr>
                <w:rFonts w:hint="eastAsia"/>
                <w:lang w:val="en-US" w:eastAsia="zh-CN"/>
              </w:rPr>
              <w:t>货物自身、</w:t>
            </w:r>
            <w:r>
              <w:t>运输、保险、安装、调试、税费等</w:t>
            </w:r>
            <w:r>
              <w:rPr>
                <w:rFonts w:hint="eastAsia"/>
                <w:lang w:val="en-US" w:eastAsia="zh-CN"/>
              </w:rPr>
              <w:t>本项目涉及的</w:t>
            </w:r>
            <w:r>
              <w:t>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2.</w:t>
            </w:r>
            <w:r>
              <w:t>交</w:t>
            </w:r>
            <w:r>
              <w:rPr>
                <w:rFonts w:hint="eastAsia"/>
              </w:rPr>
              <w:t>货地点：无锡职业技术学院内指定地点；</w:t>
            </w:r>
          </w:p>
          <w:p>
            <w:r>
              <w:rPr>
                <w:rFonts w:hint="eastAsia"/>
              </w:rPr>
              <w:t>3.</w:t>
            </w:r>
            <w:r>
              <w:t>供货期</w:t>
            </w:r>
            <w:r>
              <w:rPr>
                <w:rFonts w:hint="eastAsia"/>
              </w:rPr>
              <w:t>（完工期）：</w:t>
            </w:r>
            <w:r>
              <w:t>7</w:t>
            </w:r>
            <w:r>
              <w:rPr>
                <w:rFonts w:hint="eastAsia"/>
              </w:rPr>
              <w:t>个日历天，自合同签订之日计起；</w:t>
            </w:r>
          </w:p>
          <w:p>
            <w:r>
              <w:rPr>
                <w:rFonts w:hint="eastAsia"/>
              </w:rPr>
              <w:t>4.质量保证：必须是原厂全新合格产品，质保期应不少于1年；</w:t>
            </w:r>
          </w:p>
          <w:p>
            <w:r>
              <w:rPr>
                <w:rFonts w:hint="eastAsia"/>
              </w:rPr>
              <w:t>5.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方式：安装调试完毕，经校方验收合格后，款项一次性付清；</w:t>
            </w:r>
          </w:p>
          <w:p>
            <w:r>
              <w:rPr>
                <w:rFonts w:hint="eastAsia"/>
              </w:rPr>
              <w:t>6.</w:t>
            </w:r>
            <w:r>
              <w:t>本项目技术联系人</w:t>
            </w:r>
            <w:r>
              <w:rPr>
                <w:rFonts w:hint="eastAsia"/>
              </w:rPr>
              <w:t>：杨勇，电话</w:t>
            </w:r>
            <w:r>
              <w:t>13771503621</w:t>
            </w:r>
            <w:r>
              <w:rPr>
                <w:rFonts w:hint="eastAsia"/>
              </w:rPr>
              <w:t>；地址：无锡市高浪西路1600号无锡职业技术学院后勤处；供应商可联系项目技术联系人踏勘现场。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7.本项目预算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最高限价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color w:val="FF0000"/>
              </w:rPr>
              <w:t>9.8</w:t>
            </w:r>
            <w:r>
              <w:rPr>
                <w:rFonts w:hint="eastAsia"/>
                <w:color w:val="FF0000"/>
              </w:rPr>
              <w:t>万元，</w:t>
            </w:r>
            <w:r>
              <w:rPr>
                <w:rFonts w:hint="eastAsia"/>
                <w:color w:val="FF0000"/>
                <w:lang w:val="en-US" w:eastAsia="zh-CN"/>
              </w:rPr>
              <w:t>单册</w:t>
            </w:r>
            <w:r>
              <w:rPr>
                <w:rFonts w:hint="eastAsia"/>
                <w:color w:val="FF0000"/>
              </w:rPr>
              <w:t>最高限价为5元/册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.供应商需提供近三个月任意一个月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具体指2022年3月、2022年4月、2022年5月三个月中任意一个月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依法缴纳税</w:t>
            </w:r>
            <w:r>
              <w:rPr>
                <w:rFonts w:hint="eastAsia"/>
                <w:lang w:val="en-US" w:eastAsia="zh-CN"/>
              </w:rPr>
              <w:t>收</w:t>
            </w:r>
            <w:r>
              <w:rPr>
                <w:rFonts w:hint="eastAsia"/>
              </w:rPr>
              <w:t>和社会保障资金的</w:t>
            </w:r>
            <w:r>
              <w:rPr>
                <w:rFonts w:hint="eastAsia"/>
                <w:lang w:val="en-US" w:eastAsia="zh-CN"/>
              </w:rPr>
              <w:t>相关材料（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提供相关主管部门证明或银行代扣证明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ascii="宋体" w:hAnsi="Calibri" w:eastAsia="宋体" w:cs="Times New Roman"/>
                <w:color w:val="000000" w:themeColor="text1"/>
                <w:kern w:val="0"/>
                <w:sz w:val="24"/>
                <w:szCs w:val="20"/>
                <w:u w:color="000000"/>
                <w14:textFill>
                  <w14:solidFill>
                    <w14:schemeClr w14:val="tx1"/>
                  </w14:solidFill>
                </w14:textFill>
              </w:rPr>
              <w:t>未被“信用中国”网站（</w:t>
            </w:r>
            <w:r>
              <w:fldChar w:fldCharType="begin"/>
            </w:r>
            <w:r>
              <w:instrText xml:space="preserve"> HYPERLINK "http://www.creditchina.gov.cn/" </w:instrText>
            </w:r>
            <w:r>
              <w:fldChar w:fldCharType="separate"/>
            </w:r>
            <w:r>
              <w:rPr>
                <w:rFonts w:ascii="宋体" w:hAnsi="Calibri" w:eastAsia="宋体" w:cs="Times New Roman"/>
                <w:color w:val="000000" w:themeColor="text1"/>
                <w:kern w:val="0"/>
                <w:sz w:val="24"/>
                <w:szCs w:val="20"/>
                <w:u w:color="000000"/>
                <w14:textFill>
                  <w14:solidFill>
                    <w14:schemeClr w14:val="tx1"/>
                  </w14:solidFill>
                </w14:textFill>
              </w:rPr>
              <w:t>www.creditchina.gov.cn</w:t>
            </w:r>
            <w:r>
              <w:rPr>
                <w:rFonts w:ascii="宋体" w:hAnsi="Calibri" w:eastAsia="宋体" w:cs="Times New Roman"/>
                <w:color w:val="000000" w:themeColor="text1"/>
                <w:kern w:val="0"/>
                <w:sz w:val="24"/>
                <w:szCs w:val="20"/>
                <w:u w:color="00000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宋体" w:hAnsi="Calibri" w:eastAsia="宋体" w:cs="Times New Roman"/>
                <w:color w:val="000000" w:themeColor="text1"/>
                <w:kern w:val="0"/>
                <w:sz w:val="24"/>
                <w:szCs w:val="20"/>
                <w:u w:color="000000"/>
                <w14:textFill>
                  <w14:solidFill>
                    <w14:schemeClr w14:val="tx1"/>
                  </w14:solidFill>
                </w14:textFill>
              </w:rPr>
              <w:t>）列入失信执行人、重大税收违法案件当事人名单、政府采购严重违法失信行为记录名单</w:t>
            </w:r>
            <w:r>
              <w:rPr>
                <w:rFonts w:hint="eastAsia" w:ascii="宋体" w:hAnsi="Calibri" w:cs="Times New Roman"/>
                <w:color w:val="000000" w:themeColor="text1"/>
                <w:kern w:val="0"/>
                <w:sz w:val="24"/>
                <w:szCs w:val="20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Calibri" w:cs="Times New Roman"/>
                <w:color w:val="FF0000"/>
                <w:kern w:val="0"/>
                <w:sz w:val="24"/>
                <w:szCs w:val="20"/>
                <w:u w:color="000000"/>
                <w:lang w:val="en-US" w:eastAsia="zh-CN"/>
              </w:rPr>
              <w:t>提供“信用中国”网站下载的报价供应商信用信息报告，并加盖报价供应商公章</w:t>
            </w:r>
            <w:r>
              <w:rPr>
                <w:rFonts w:hint="eastAsia" w:ascii="宋体" w:hAnsi="Calibri" w:cs="Times New Roman"/>
                <w:color w:val="000000" w:themeColor="text1"/>
                <w:kern w:val="0"/>
                <w:sz w:val="24"/>
                <w:szCs w:val="20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Calibri" w:eastAsia="宋体" w:cs="Times New Roman"/>
                <w:color w:val="000000" w:themeColor="text1"/>
                <w:kern w:val="0"/>
                <w:sz w:val="24"/>
                <w:szCs w:val="20"/>
                <w:u w:color="00000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.报价文件中还应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（3）</w:t>
            </w:r>
            <w:r>
              <w:t>授权代表还需提供法人授权委托书原件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如授权代表参与报价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如授权代表参与报价）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1、报价文件请授权代表签字并加盖单位公章后于</w:t>
            </w:r>
            <w:r>
              <w:rPr>
                <w:rFonts w:hint="eastAsia"/>
                <w:color w:val="FF0000"/>
              </w:rPr>
              <w:t>2022年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13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  <w:color w:val="FF0000"/>
                <w:lang w:val="en-US" w:eastAsia="zh-CN"/>
              </w:rPr>
              <w:t>9</w:t>
            </w:r>
            <w:r>
              <w:rPr>
                <w:rFonts w:hint="eastAsia"/>
                <w:color w:val="FF0000"/>
              </w:rPr>
              <w:t>:00</w:t>
            </w:r>
            <w:r>
              <w:rPr>
                <w:rFonts w:hint="eastAsia"/>
              </w:rPr>
              <w:t xml:space="preserve">前寄送至无锡职业技术学院资产管理处综合楼919室（疫情防控期间报价文件采用顺丰邮寄方式，报价人应充分考虑邮件在途时间，保证报价文件能够在截止时间之前送达学校。顺丰寄出报价文件时务必联系资产处于老师 </w:t>
            </w:r>
            <w:r>
              <w:rPr>
                <w:rFonts w:hint="eastAsia"/>
                <w:color w:val="FF0000"/>
              </w:rPr>
              <w:t>18261340356</w:t>
            </w:r>
            <w:r>
              <w:rPr>
                <w:rFonts w:hint="eastAsia"/>
              </w:rPr>
              <w:t>告知邮件单号）。</w:t>
            </w:r>
          </w:p>
          <w:p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  <w:r>
              <w:t>成交结果</w:t>
            </w:r>
            <w:r>
              <w:rPr>
                <w:rFonts w:hint="eastAsia"/>
              </w:rPr>
              <w:t>通过学校</w:t>
            </w:r>
            <w:r>
              <w:t>主页</w:t>
            </w:r>
            <w:r>
              <w:rPr>
                <w:rFonts w:hint="eastAsia"/>
              </w:rPr>
              <w:t>“招标</w:t>
            </w:r>
            <w:r>
              <w:t>采购</w:t>
            </w:r>
            <w:r>
              <w:rPr>
                <w:rFonts w:hint="eastAsia"/>
              </w:rPr>
              <w:t>”栏公布。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662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</w:t>
            </w:r>
            <w:r>
              <w:rPr>
                <w:rFonts w:hint="eastAsia"/>
                <w:color w:val="FF0000"/>
                <w:szCs w:val="21"/>
                <w:u w:val="single"/>
              </w:rPr>
              <w:t>20</w:t>
            </w:r>
            <w:r>
              <w:rPr>
                <w:color w:val="FF0000"/>
                <w:szCs w:val="21"/>
                <w:u w:val="single"/>
              </w:rPr>
              <w:t>2</w:t>
            </w:r>
            <w:r>
              <w:rPr>
                <w:rFonts w:hint="eastAsia"/>
                <w:color w:val="FF0000"/>
                <w:szCs w:val="21"/>
                <w:u w:val="single"/>
              </w:rPr>
              <w:t xml:space="preserve">2年 </w:t>
            </w:r>
            <w:r>
              <w:rPr>
                <w:color w:val="FF0000"/>
                <w:szCs w:val="21"/>
                <w:u w:val="single"/>
              </w:rPr>
              <w:t>6</w:t>
            </w:r>
            <w:r>
              <w:rPr>
                <w:rFonts w:hint="eastAsia"/>
                <w:color w:val="FF0000"/>
                <w:szCs w:val="21"/>
                <w:u w:val="single"/>
              </w:rPr>
              <w:t>月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/>
                <w:color w:val="FF0000"/>
                <w:szCs w:val="21"/>
                <w:u w:val="single"/>
              </w:rPr>
              <w:t>日10:00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：无锡市高浪西路1600号无锡职业技术学院综合楼912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2"/>
        <w:jc w:val="both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184F9"/>
    <w:multiLevelType w:val="singleLevel"/>
    <w:tmpl w:val="B5A184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04E6E1"/>
    <w:multiLevelType w:val="singleLevel"/>
    <w:tmpl w:val="5004E6E1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578"/>
    <w:rsid w:val="0000636A"/>
    <w:rsid w:val="00051595"/>
    <w:rsid w:val="00052A2D"/>
    <w:rsid w:val="000541D0"/>
    <w:rsid w:val="00103E72"/>
    <w:rsid w:val="00106531"/>
    <w:rsid w:val="001148F7"/>
    <w:rsid w:val="0013120D"/>
    <w:rsid w:val="00160C5C"/>
    <w:rsid w:val="001C37CB"/>
    <w:rsid w:val="00236015"/>
    <w:rsid w:val="00255D23"/>
    <w:rsid w:val="0028736D"/>
    <w:rsid w:val="0029538B"/>
    <w:rsid w:val="002C7AE3"/>
    <w:rsid w:val="002E2B16"/>
    <w:rsid w:val="003126CD"/>
    <w:rsid w:val="003436F6"/>
    <w:rsid w:val="00366D9C"/>
    <w:rsid w:val="00367B86"/>
    <w:rsid w:val="003C6432"/>
    <w:rsid w:val="003D5465"/>
    <w:rsid w:val="003D581B"/>
    <w:rsid w:val="003F0E1E"/>
    <w:rsid w:val="00415C06"/>
    <w:rsid w:val="0041611C"/>
    <w:rsid w:val="004221AF"/>
    <w:rsid w:val="0042254F"/>
    <w:rsid w:val="004350A2"/>
    <w:rsid w:val="004436D8"/>
    <w:rsid w:val="004521C2"/>
    <w:rsid w:val="00455619"/>
    <w:rsid w:val="004D194A"/>
    <w:rsid w:val="004E4DD9"/>
    <w:rsid w:val="00505AE6"/>
    <w:rsid w:val="005201B2"/>
    <w:rsid w:val="00566CE1"/>
    <w:rsid w:val="00570C4D"/>
    <w:rsid w:val="00580BE3"/>
    <w:rsid w:val="005955A8"/>
    <w:rsid w:val="005971D8"/>
    <w:rsid w:val="005A53C3"/>
    <w:rsid w:val="00615BEF"/>
    <w:rsid w:val="00625FF5"/>
    <w:rsid w:val="00627E6B"/>
    <w:rsid w:val="00684802"/>
    <w:rsid w:val="0068643B"/>
    <w:rsid w:val="006C16AB"/>
    <w:rsid w:val="006C4830"/>
    <w:rsid w:val="006C4E6E"/>
    <w:rsid w:val="00705D19"/>
    <w:rsid w:val="00712F2B"/>
    <w:rsid w:val="0072498A"/>
    <w:rsid w:val="00730415"/>
    <w:rsid w:val="0075797D"/>
    <w:rsid w:val="00764763"/>
    <w:rsid w:val="00777BCF"/>
    <w:rsid w:val="0078101E"/>
    <w:rsid w:val="00784DD8"/>
    <w:rsid w:val="00791590"/>
    <w:rsid w:val="007A5B0B"/>
    <w:rsid w:val="007B22C7"/>
    <w:rsid w:val="007E346A"/>
    <w:rsid w:val="007F415C"/>
    <w:rsid w:val="00816ECC"/>
    <w:rsid w:val="008245D6"/>
    <w:rsid w:val="0089385F"/>
    <w:rsid w:val="008A027A"/>
    <w:rsid w:val="008A3AEC"/>
    <w:rsid w:val="008A65B7"/>
    <w:rsid w:val="008A6D18"/>
    <w:rsid w:val="008D2CE2"/>
    <w:rsid w:val="009046F6"/>
    <w:rsid w:val="00930B9B"/>
    <w:rsid w:val="00937023"/>
    <w:rsid w:val="00966AA0"/>
    <w:rsid w:val="009B0B44"/>
    <w:rsid w:val="009F096D"/>
    <w:rsid w:val="00A01D61"/>
    <w:rsid w:val="00A40B4C"/>
    <w:rsid w:val="00A62995"/>
    <w:rsid w:val="00A72CB5"/>
    <w:rsid w:val="00A74D60"/>
    <w:rsid w:val="00A7536C"/>
    <w:rsid w:val="00A85BB5"/>
    <w:rsid w:val="00AA1CD9"/>
    <w:rsid w:val="00AA7C52"/>
    <w:rsid w:val="00AC64D3"/>
    <w:rsid w:val="00AF5A81"/>
    <w:rsid w:val="00B37042"/>
    <w:rsid w:val="00B672E5"/>
    <w:rsid w:val="00B94E21"/>
    <w:rsid w:val="00BA76B7"/>
    <w:rsid w:val="00BB2CC4"/>
    <w:rsid w:val="00BB4333"/>
    <w:rsid w:val="00BD500C"/>
    <w:rsid w:val="00C0403C"/>
    <w:rsid w:val="00C266B0"/>
    <w:rsid w:val="00C40B45"/>
    <w:rsid w:val="00C5657D"/>
    <w:rsid w:val="00C72830"/>
    <w:rsid w:val="00C768FD"/>
    <w:rsid w:val="00C91992"/>
    <w:rsid w:val="00CA4131"/>
    <w:rsid w:val="00CB17C4"/>
    <w:rsid w:val="00D011BB"/>
    <w:rsid w:val="00D03CA2"/>
    <w:rsid w:val="00D247C6"/>
    <w:rsid w:val="00DB42E3"/>
    <w:rsid w:val="00DB676B"/>
    <w:rsid w:val="00DD0354"/>
    <w:rsid w:val="00E55A7A"/>
    <w:rsid w:val="00E75783"/>
    <w:rsid w:val="00E76C92"/>
    <w:rsid w:val="00EB0566"/>
    <w:rsid w:val="00EC5F5E"/>
    <w:rsid w:val="00EC7A50"/>
    <w:rsid w:val="00ED4790"/>
    <w:rsid w:val="00EE0A62"/>
    <w:rsid w:val="00EF010B"/>
    <w:rsid w:val="00F04213"/>
    <w:rsid w:val="00F30092"/>
    <w:rsid w:val="00F369B4"/>
    <w:rsid w:val="00F4413A"/>
    <w:rsid w:val="00FE6B70"/>
    <w:rsid w:val="018D564C"/>
    <w:rsid w:val="037A538C"/>
    <w:rsid w:val="03AC403A"/>
    <w:rsid w:val="046B5540"/>
    <w:rsid w:val="04721101"/>
    <w:rsid w:val="061A5470"/>
    <w:rsid w:val="077610B0"/>
    <w:rsid w:val="0784727B"/>
    <w:rsid w:val="07B216D8"/>
    <w:rsid w:val="084A1A95"/>
    <w:rsid w:val="0A1E3055"/>
    <w:rsid w:val="0AAA6E4F"/>
    <w:rsid w:val="0AB319EF"/>
    <w:rsid w:val="0B8415DD"/>
    <w:rsid w:val="0C166AFD"/>
    <w:rsid w:val="0C8E4B28"/>
    <w:rsid w:val="0D1234CC"/>
    <w:rsid w:val="0D3B3F1D"/>
    <w:rsid w:val="0DA42347"/>
    <w:rsid w:val="0F026ACE"/>
    <w:rsid w:val="0FBF65F9"/>
    <w:rsid w:val="0FCE2E27"/>
    <w:rsid w:val="0FDA7A1E"/>
    <w:rsid w:val="11B14F05"/>
    <w:rsid w:val="11FD3D10"/>
    <w:rsid w:val="145C4FE3"/>
    <w:rsid w:val="14953BE6"/>
    <w:rsid w:val="15AF7257"/>
    <w:rsid w:val="168B1A72"/>
    <w:rsid w:val="18505401"/>
    <w:rsid w:val="186026A8"/>
    <w:rsid w:val="199C637C"/>
    <w:rsid w:val="1B99253B"/>
    <w:rsid w:val="1C537CEF"/>
    <w:rsid w:val="1CB25D62"/>
    <w:rsid w:val="1DB7139E"/>
    <w:rsid w:val="1DE15EA2"/>
    <w:rsid w:val="1E432C32"/>
    <w:rsid w:val="1E904A6C"/>
    <w:rsid w:val="1F0028D1"/>
    <w:rsid w:val="201104DA"/>
    <w:rsid w:val="204B670C"/>
    <w:rsid w:val="20A420AE"/>
    <w:rsid w:val="223631D9"/>
    <w:rsid w:val="22DE117B"/>
    <w:rsid w:val="230A5417"/>
    <w:rsid w:val="23927721"/>
    <w:rsid w:val="25A04B46"/>
    <w:rsid w:val="27B06F8F"/>
    <w:rsid w:val="27E40FE2"/>
    <w:rsid w:val="28377363"/>
    <w:rsid w:val="28F4476E"/>
    <w:rsid w:val="2A027E45"/>
    <w:rsid w:val="2A5A1A2F"/>
    <w:rsid w:val="2AFE685E"/>
    <w:rsid w:val="2CCD62B5"/>
    <w:rsid w:val="2CCE400E"/>
    <w:rsid w:val="2E65560C"/>
    <w:rsid w:val="2F0401BB"/>
    <w:rsid w:val="30183F1E"/>
    <w:rsid w:val="305030B9"/>
    <w:rsid w:val="31BD375C"/>
    <w:rsid w:val="32066355"/>
    <w:rsid w:val="3260395B"/>
    <w:rsid w:val="327309AD"/>
    <w:rsid w:val="32843AED"/>
    <w:rsid w:val="32870EE7"/>
    <w:rsid w:val="32E91BA2"/>
    <w:rsid w:val="330864CC"/>
    <w:rsid w:val="33B421B0"/>
    <w:rsid w:val="342F7A89"/>
    <w:rsid w:val="344D6161"/>
    <w:rsid w:val="348C4EDB"/>
    <w:rsid w:val="35804E00"/>
    <w:rsid w:val="35AA386B"/>
    <w:rsid w:val="35C4410C"/>
    <w:rsid w:val="3649776E"/>
    <w:rsid w:val="384F4255"/>
    <w:rsid w:val="3939500F"/>
    <w:rsid w:val="39B42F7C"/>
    <w:rsid w:val="3B395C09"/>
    <w:rsid w:val="3BE850ED"/>
    <w:rsid w:val="3C756255"/>
    <w:rsid w:val="3CC01F5D"/>
    <w:rsid w:val="3D712EC0"/>
    <w:rsid w:val="3DA90D46"/>
    <w:rsid w:val="3ED100BA"/>
    <w:rsid w:val="3FAE7E03"/>
    <w:rsid w:val="40387CC5"/>
    <w:rsid w:val="406516B3"/>
    <w:rsid w:val="420662CD"/>
    <w:rsid w:val="42367DA5"/>
    <w:rsid w:val="42502AF1"/>
    <w:rsid w:val="4268588E"/>
    <w:rsid w:val="428C6BA2"/>
    <w:rsid w:val="42A75502"/>
    <w:rsid w:val="453E44AC"/>
    <w:rsid w:val="45830D0E"/>
    <w:rsid w:val="461C0BB4"/>
    <w:rsid w:val="48B7295B"/>
    <w:rsid w:val="49570F78"/>
    <w:rsid w:val="498521CD"/>
    <w:rsid w:val="4B6127C6"/>
    <w:rsid w:val="4C45437E"/>
    <w:rsid w:val="4CE216E4"/>
    <w:rsid w:val="4CF82CB6"/>
    <w:rsid w:val="4DB8283C"/>
    <w:rsid w:val="4FCE29CF"/>
    <w:rsid w:val="504F7F0C"/>
    <w:rsid w:val="51131F9B"/>
    <w:rsid w:val="51183927"/>
    <w:rsid w:val="513439D2"/>
    <w:rsid w:val="518812DB"/>
    <w:rsid w:val="54E737B3"/>
    <w:rsid w:val="56247648"/>
    <w:rsid w:val="56B72407"/>
    <w:rsid w:val="570117F7"/>
    <w:rsid w:val="571132F2"/>
    <w:rsid w:val="57945866"/>
    <w:rsid w:val="57D82E00"/>
    <w:rsid w:val="57E71388"/>
    <w:rsid w:val="581E7394"/>
    <w:rsid w:val="59845403"/>
    <w:rsid w:val="5A393908"/>
    <w:rsid w:val="5B3E6680"/>
    <w:rsid w:val="5B60545F"/>
    <w:rsid w:val="5D656145"/>
    <w:rsid w:val="5D7C30DE"/>
    <w:rsid w:val="5DA42AC1"/>
    <w:rsid w:val="5DD84F6B"/>
    <w:rsid w:val="5DDD2180"/>
    <w:rsid w:val="5DED613B"/>
    <w:rsid w:val="5EDD1ADD"/>
    <w:rsid w:val="5F135A16"/>
    <w:rsid w:val="5F3F4774"/>
    <w:rsid w:val="5FF1783B"/>
    <w:rsid w:val="605A1C39"/>
    <w:rsid w:val="60844B35"/>
    <w:rsid w:val="60A725D1"/>
    <w:rsid w:val="612C626E"/>
    <w:rsid w:val="61D4500E"/>
    <w:rsid w:val="628250A4"/>
    <w:rsid w:val="62C45CE2"/>
    <w:rsid w:val="642D7194"/>
    <w:rsid w:val="647C3D75"/>
    <w:rsid w:val="64FB113D"/>
    <w:rsid w:val="65E735CB"/>
    <w:rsid w:val="6808604B"/>
    <w:rsid w:val="68D81AAF"/>
    <w:rsid w:val="69280027"/>
    <w:rsid w:val="698F62F8"/>
    <w:rsid w:val="6B4E7752"/>
    <w:rsid w:val="6D6D4BA2"/>
    <w:rsid w:val="6DED003A"/>
    <w:rsid w:val="6EDD5382"/>
    <w:rsid w:val="6F3911E0"/>
    <w:rsid w:val="711D05E4"/>
    <w:rsid w:val="712D6B22"/>
    <w:rsid w:val="719A562B"/>
    <w:rsid w:val="72572EF3"/>
    <w:rsid w:val="72C62D8B"/>
    <w:rsid w:val="73932B07"/>
    <w:rsid w:val="744A1C88"/>
    <w:rsid w:val="74E62D34"/>
    <w:rsid w:val="753F6E24"/>
    <w:rsid w:val="75C0360C"/>
    <w:rsid w:val="762878B8"/>
    <w:rsid w:val="77434EF4"/>
    <w:rsid w:val="77D9530E"/>
    <w:rsid w:val="77FF0BC6"/>
    <w:rsid w:val="7842561A"/>
    <w:rsid w:val="79446BF7"/>
    <w:rsid w:val="7AD10F20"/>
    <w:rsid w:val="7B590514"/>
    <w:rsid w:val="7BB6398D"/>
    <w:rsid w:val="7BB67714"/>
    <w:rsid w:val="7BCF7B2A"/>
    <w:rsid w:val="7BEC3136"/>
    <w:rsid w:val="7C0E43C9"/>
    <w:rsid w:val="7DE012F1"/>
    <w:rsid w:val="7ECF5E46"/>
    <w:rsid w:val="7F8E50C8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Style1"/>
    <w:basedOn w:val="1"/>
    <w:qFormat/>
    <w:uiPriority w:val="0"/>
    <w:pPr>
      <w:widowControl/>
      <w:tabs>
        <w:tab w:val="left" w:pos="-720"/>
      </w:tabs>
    </w:pPr>
    <w:rPr>
      <w:spacing w:val="-3"/>
      <w:kern w:val="0"/>
      <w:sz w:val="24"/>
      <w:lang w:val="en-AU" w:eastAsia="en-US"/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Helvetica" w:hAnsi="Calibri" w:eastAsia="Helvetica" w:cs="Helvetica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1"/>
    <w:link w:val="4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2578</Words>
  <Characters>2754</Characters>
  <Lines>18</Lines>
  <Paragraphs>5</Paragraphs>
  <TotalTime>0</TotalTime>
  <ScaleCrop>false</ScaleCrop>
  <LinksUpToDate>false</LinksUpToDate>
  <CharactersWithSpaces>2764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2021-09-10T07:17:00Z</dcterms:created>
  <dc:creator>huang</dc:creator>
  <cp:lastModifiedBy>wxzy</cp:lastModifiedBy>
  <cp:lastPrinted>2019-04-18T06:15:00Z</cp:lastPrinted>
  <dcterms:modified xsi:type="dcterms:W3CDTF">2022-06-08T07:26:36Z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7EC86DBD83694AF695B0EF7AC68A9930</vt:lpwstr>
  </property>
</Properties>
</file>